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ascii="方正小标宋简体" w:hAnsi="宋体-方正超大字符集" w:eastAsia="方正小标宋简体" w:cs="宋体-方正超大字符集"/>
          <w:b/>
          <w:bCs/>
          <w:sz w:val="44"/>
          <w:szCs w:val="44"/>
        </w:rPr>
      </w:pPr>
      <w:r>
        <w:rPr>
          <w:rFonts w:hint="eastAsia" w:ascii="方正小标宋简体" w:hAnsi="宋体-方正超大字符集" w:eastAsia="方正小标宋简体" w:cs="宋体-方正超大字符集"/>
          <w:b/>
          <w:bCs/>
          <w:sz w:val="44"/>
          <w:szCs w:val="44"/>
        </w:rPr>
        <w:t>201</w:t>
      </w:r>
      <w:r>
        <w:rPr>
          <w:rFonts w:hint="eastAsia" w:ascii="方正小标宋简体" w:hAnsi="宋体-方正超大字符集" w:eastAsia="方正小标宋简体" w:cs="宋体-方正超大字符集"/>
          <w:b/>
          <w:bCs/>
          <w:sz w:val="44"/>
          <w:szCs w:val="44"/>
          <w:lang w:val="en-US" w:eastAsia="zh-CN"/>
        </w:rPr>
        <w:t>7</w:t>
      </w:r>
      <w:r>
        <w:rPr>
          <w:rFonts w:hint="eastAsia" w:ascii="方正小标宋简体" w:hAnsi="宋体-方正超大字符集" w:eastAsia="方正小标宋简体" w:cs="宋体-方正超大字符集"/>
          <w:b/>
          <w:bCs/>
          <w:sz w:val="44"/>
          <w:szCs w:val="44"/>
        </w:rPr>
        <w:t>年</w:t>
      </w:r>
      <w:r>
        <w:rPr>
          <w:rFonts w:hint="eastAsia" w:ascii="方正小标宋简体" w:hAnsi="宋体-方正超大字符集" w:eastAsia="方正小标宋简体" w:cs="宋体-方正超大字符集"/>
          <w:b/>
          <w:bCs/>
          <w:sz w:val="44"/>
          <w:szCs w:val="44"/>
          <w:lang w:eastAsia="zh-CN"/>
        </w:rPr>
        <w:t>度</w:t>
      </w:r>
      <w:r>
        <w:rPr>
          <w:rFonts w:hint="eastAsia" w:ascii="方正小标宋简体" w:hAnsi="宋体-方正超大字符集" w:eastAsia="方正小标宋简体" w:cs="宋体-方正超大字符集"/>
          <w:b/>
          <w:bCs/>
          <w:sz w:val="44"/>
          <w:szCs w:val="44"/>
        </w:rPr>
        <w:t>大厂回族自治县</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宋体-方正超大字符集" w:eastAsia="方正小标宋简体" w:cs="宋体-方正超大字符集"/>
          <w:b/>
          <w:bCs/>
          <w:sz w:val="44"/>
          <w:szCs w:val="44"/>
          <w:lang w:eastAsia="zh-CN"/>
        </w:rPr>
      </w:pPr>
      <w:r>
        <w:rPr>
          <w:rFonts w:hint="eastAsia" w:ascii="方正小标宋简体" w:hAnsi="宋体-方正超大字符集" w:eastAsia="方正小标宋简体" w:cs="宋体-方正超大字符集"/>
          <w:b/>
          <w:bCs/>
          <w:sz w:val="44"/>
          <w:szCs w:val="44"/>
          <w:lang w:eastAsia="zh-CN"/>
        </w:rPr>
        <w:t>人力资源和社会保障局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宋体-方正超大字符集" w:eastAsia="方正小标宋简体" w:cs="宋体-方正超大字符集"/>
          <w:b/>
          <w:bCs/>
          <w:sz w:val="44"/>
          <w:szCs w:val="44"/>
          <w:lang w:val="en-US" w:eastAsia="zh-CN"/>
        </w:rPr>
      </w:pPr>
      <w:r>
        <w:rPr>
          <w:rFonts w:hint="eastAsia" w:ascii="方正小标宋简体" w:hAnsi="宋体-方正超大字符集" w:eastAsia="方正小标宋简体" w:cs="宋体-方正超大字符集"/>
          <w:b/>
          <w:bCs/>
          <w:sz w:val="44"/>
          <w:szCs w:val="44"/>
        </w:rPr>
        <w:t>部门决算信息公开情况</w:t>
      </w:r>
      <w:r>
        <w:rPr>
          <w:rFonts w:hint="eastAsia" w:ascii="方正小标宋简体" w:hAnsi="宋体-方正超大字符集" w:eastAsia="方正小标宋简体" w:cs="宋体-方正超大字符集"/>
          <w:b/>
          <w:bCs/>
          <w:sz w:val="44"/>
          <w:szCs w:val="44"/>
          <w:lang w:eastAsia="zh-CN"/>
        </w:rPr>
        <w:t>说明</w:t>
      </w:r>
    </w:p>
    <w:p>
      <w:pPr>
        <w:spacing w:line="600" w:lineRule="exact"/>
        <w:ind w:left="420" w:leftChars="200" w:firstLine="640" w:firstLineChars="200"/>
        <w:jc w:val="left"/>
        <w:rPr>
          <w:rFonts w:ascii="仿宋" w:hAnsi="仿宋" w:eastAsia="仿宋"/>
          <w:sz w:val="32"/>
          <w:szCs w:val="32"/>
        </w:rPr>
      </w:pPr>
      <w:r>
        <w:rPr>
          <w:rFonts w:hint="eastAsia" w:ascii="仿宋" w:hAnsi="仿宋" w:eastAsia="仿宋"/>
          <w:sz w:val="32"/>
          <w:szCs w:val="32"/>
        </w:rPr>
        <w:t>按照《中华人民共和国预算法》、《河北省财政厅关于印发〈河北省预决算公开操作规程实施细则〉的通知》（冀财预[2016]129号）等规定，现将</w:t>
      </w:r>
      <w:r>
        <w:rPr>
          <w:rFonts w:hint="eastAsia" w:ascii="仿宋" w:hAnsi="仿宋" w:eastAsia="仿宋"/>
          <w:sz w:val="32"/>
          <w:szCs w:val="32"/>
          <w:lang w:eastAsia="zh-CN"/>
        </w:rPr>
        <w:t>大厂回族自治县人力资源和社会保障局</w:t>
      </w:r>
      <w:r>
        <w:rPr>
          <w:rFonts w:ascii="仿宋" w:hAnsi="仿宋" w:eastAsia="仿宋"/>
          <w:sz w:val="32"/>
          <w:szCs w:val="32"/>
        </w:rPr>
        <w:t>201</w:t>
      </w:r>
      <w:r>
        <w:rPr>
          <w:rFonts w:hint="eastAsia" w:ascii="仿宋" w:hAnsi="仿宋" w:eastAsia="仿宋"/>
          <w:sz w:val="32"/>
          <w:szCs w:val="32"/>
          <w:lang w:val="en-US" w:eastAsia="zh-CN"/>
        </w:rPr>
        <w:t>7</w:t>
      </w:r>
      <w:r>
        <w:rPr>
          <w:rFonts w:hint="eastAsia" w:ascii="仿宋" w:hAnsi="仿宋" w:eastAsia="仿宋"/>
          <w:sz w:val="32"/>
          <w:szCs w:val="32"/>
        </w:rPr>
        <w:t>年度部门决算公开如下：</w:t>
      </w:r>
    </w:p>
    <w:p>
      <w:pPr>
        <w:pStyle w:val="6"/>
        <w:shd w:val="clear" w:color="auto" w:fill="FFFFFF"/>
        <w:spacing w:before="0" w:beforeAutospacing="0" w:after="0" w:afterAutospacing="0" w:line="600" w:lineRule="exact"/>
        <w:ind w:firstLine="200"/>
        <w:jc w:val="center"/>
        <w:rPr>
          <w:rFonts w:hint="eastAsia" w:ascii="楷体" w:hAnsi="楷体" w:eastAsia="黑体" w:cs="Times New Roman"/>
          <w:b/>
          <w:kern w:val="2"/>
          <w:sz w:val="32"/>
          <w:szCs w:val="32"/>
          <w:lang w:eastAsia="zh-CN"/>
        </w:rPr>
      </w:pPr>
      <w:r>
        <w:rPr>
          <w:rFonts w:hint="eastAsia" w:ascii="黑体" w:hAnsi="黑体" w:eastAsia="黑体" w:cs="Times New Roman"/>
          <w:b/>
          <w:kern w:val="2"/>
          <w:sz w:val="32"/>
          <w:szCs w:val="32"/>
          <w:lang w:val="en-US" w:eastAsia="zh-CN"/>
        </w:rPr>
        <w:t>第</w:t>
      </w:r>
      <w:r>
        <w:rPr>
          <w:rFonts w:hint="eastAsia" w:ascii="黑体" w:hAnsi="黑体" w:eastAsia="黑体" w:cs="Times New Roman"/>
          <w:b/>
          <w:kern w:val="2"/>
          <w:sz w:val="32"/>
          <w:szCs w:val="32"/>
        </w:rPr>
        <w:t>一</w:t>
      </w:r>
      <w:r>
        <w:rPr>
          <w:rFonts w:hint="eastAsia" w:ascii="黑体" w:hAnsi="黑体" w:eastAsia="黑体" w:cs="Times New Roman"/>
          <w:b/>
          <w:kern w:val="2"/>
          <w:sz w:val="32"/>
          <w:szCs w:val="32"/>
          <w:lang w:eastAsia="zh-CN"/>
        </w:rPr>
        <w:t>部分</w:t>
      </w:r>
      <w:r>
        <w:rPr>
          <w:rFonts w:hint="eastAsia" w:ascii="黑体" w:hAnsi="黑体" w:eastAsia="黑体" w:cs="Times New Roman"/>
          <w:b/>
          <w:kern w:val="2"/>
          <w:sz w:val="32"/>
          <w:szCs w:val="32"/>
          <w:lang w:val="en-US" w:eastAsia="zh-CN"/>
        </w:rPr>
        <w:t xml:space="preserve">  </w:t>
      </w:r>
      <w:r>
        <w:rPr>
          <w:rFonts w:hint="eastAsia" w:ascii="黑体" w:hAnsi="黑体" w:eastAsia="黑体" w:cs="Times New Roman"/>
          <w:b/>
          <w:kern w:val="2"/>
          <w:sz w:val="32"/>
          <w:szCs w:val="32"/>
        </w:rPr>
        <w:t>部门</w:t>
      </w:r>
      <w:r>
        <w:rPr>
          <w:rFonts w:hint="eastAsia" w:ascii="黑体" w:hAnsi="黑体" w:eastAsia="黑体" w:cs="Times New Roman"/>
          <w:b/>
          <w:kern w:val="2"/>
          <w:sz w:val="32"/>
          <w:szCs w:val="32"/>
          <w:lang w:eastAsia="zh-CN"/>
        </w:rPr>
        <w:t>概况</w:t>
      </w:r>
    </w:p>
    <w:p>
      <w:pPr>
        <w:spacing w:line="600" w:lineRule="exact"/>
        <w:rPr>
          <w:rFonts w:ascii="仿宋" w:hAnsi="仿宋" w:eastAsia="仿宋"/>
          <w:b/>
          <w:sz w:val="32"/>
          <w:szCs w:val="32"/>
        </w:rPr>
      </w:pPr>
      <w:r>
        <w:rPr>
          <w:rFonts w:hint="eastAsia" w:ascii="华文楷体" w:hAnsi="华文楷体" w:eastAsia="华文楷体"/>
          <w:b/>
          <w:sz w:val="32"/>
          <w:szCs w:val="32"/>
        </w:rPr>
        <w:t xml:space="preserve">       </w:t>
      </w:r>
      <w:r>
        <w:rPr>
          <w:rFonts w:hint="eastAsia" w:ascii="华文楷体" w:hAnsi="华文楷体" w:eastAsia="华文楷体"/>
          <w:b/>
          <w:sz w:val="32"/>
          <w:szCs w:val="32"/>
          <w:lang w:eastAsia="zh-CN"/>
        </w:rPr>
        <w:t>一、</w:t>
      </w:r>
      <w:r>
        <w:rPr>
          <w:rFonts w:hint="eastAsia" w:ascii="仿宋" w:hAnsi="仿宋" w:eastAsia="仿宋"/>
          <w:b/>
          <w:sz w:val="32"/>
          <w:szCs w:val="32"/>
        </w:rPr>
        <w:t>部门职责</w:t>
      </w:r>
    </w:p>
    <w:p>
      <w:pPr>
        <w:autoSpaceDE w:val="0"/>
        <w:autoSpaceDN w:val="0"/>
        <w:adjustRightInd w:val="0"/>
        <w:spacing w:line="600" w:lineRule="exact"/>
        <w:ind w:left="319" w:leftChars="152" w:firstLine="640" w:firstLineChars="200"/>
        <w:rPr>
          <w:rFonts w:hint="eastAsia" w:ascii="仿宋" w:hAnsi="仿宋" w:eastAsia="仿宋" w:cs="Times New Roman"/>
          <w:kern w:val="0"/>
          <w:sz w:val="32"/>
          <w:szCs w:val="32"/>
        </w:rPr>
      </w:pPr>
      <w:r>
        <w:rPr>
          <w:rFonts w:hint="eastAsia" w:ascii="仿宋" w:hAnsi="仿宋" w:eastAsia="仿宋" w:cs="Times New Roman"/>
          <w:kern w:val="0"/>
          <w:sz w:val="32"/>
          <w:szCs w:val="32"/>
        </w:rPr>
        <w:t>（一）拟订全县人事制度改革规划、方案并组织实施；拟订全县人事管理规定；对全县人事工作进行指导、督察检查、协调服务；负责政府系统机构改革“三定”后的人员定岗工作。</w:t>
      </w:r>
    </w:p>
    <w:p>
      <w:pPr>
        <w:autoSpaceDE w:val="0"/>
        <w:autoSpaceDN w:val="0"/>
        <w:adjustRightInd w:val="0"/>
        <w:spacing w:line="600" w:lineRule="exact"/>
        <w:ind w:left="319" w:leftChars="152" w:firstLine="640" w:firstLineChars="200"/>
        <w:rPr>
          <w:rFonts w:hint="eastAsia" w:ascii="仿宋" w:hAnsi="仿宋" w:eastAsia="仿宋" w:cs="Times New Roman"/>
          <w:kern w:val="0"/>
          <w:sz w:val="32"/>
          <w:szCs w:val="32"/>
        </w:rPr>
      </w:pPr>
      <w:r>
        <w:rPr>
          <w:rFonts w:hint="eastAsia" w:ascii="仿宋" w:hAnsi="仿宋" w:eastAsia="仿宋" w:cs="Times New Roman"/>
          <w:kern w:val="0"/>
          <w:sz w:val="32"/>
          <w:szCs w:val="32"/>
        </w:rPr>
        <w:t>（二）负责全县机关事业单位工作人员总体规划、结构调整和宏观管理；编制下达全县机关事业单位人员规划、工资计划并组织监督实施。</w:t>
      </w:r>
    </w:p>
    <w:p>
      <w:pPr>
        <w:autoSpaceDE w:val="0"/>
        <w:autoSpaceDN w:val="0"/>
        <w:adjustRightInd w:val="0"/>
        <w:spacing w:line="600" w:lineRule="exact"/>
        <w:ind w:firstLine="640" w:firstLineChars="200"/>
        <w:rPr>
          <w:rFonts w:hint="eastAsia" w:ascii="仿宋" w:hAnsi="仿宋" w:eastAsia="仿宋" w:cs="Times New Roman"/>
          <w:kern w:val="0"/>
          <w:sz w:val="32"/>
          <w:szCs w:val="32"/>
        </w:rPr>
      </w:pPr>
      <w:r>
        <w:rPr>
          <w:rFonts w:hint="eastAsia" w:ascii="仿宋" w:hAnsi="仿宋" w:eastAsia="仿宋" w:cs="Times New Roman"/>
          <w:kern w:val="0"/>
          <w:sz w:val="32"/>
          <w:szCs w:val="32"/>
        </w:rPr>
        <w:t>（三）管理全县专业技术人员和专业技术人员队伍建设工作；负责高级专门人才规划、培养工作；</w:t>
      </w:r>
      <w:r>
        <w:rPr>
          <w:rFonts w:hint="eastAsia" w:ascii="仿宋" w:hAnsi="仿宋" w:eastAsia="仿宋" w:cs="Times New Roman"/>
          <w:kern w:val="0"/>
          <w:sz w:val="32"/>
          <w:szCs w:val="32"/>
          <w:lang w:val="en-US" w:eastAsia="zh-CN"/>
        </w:rPr>
        <w:t xml:space="preserve">   </w:t>
      </w:r>
      <w:r>
        <w:rPr>
          <w:rFonts w:hint="eastAsia" w:ascii="仿宋" w:hAnsi="仿宋" w:eastAsia="仿宋" w:cs="Times New Roman"/>
          <w:kern w:val="0"/>
          <w:sz w:val="32"/>
          <w:szCs w:val="32"/>
        </w:rPr>
        <w:t>组织有突出贡献中青年专家和享受政府特殊津贴专家的选拔推荐工作；负责专业技术人员继续教育工作；拟订专业技术骨干人才出国（境）的管理政策规定并组织实施。</w:t>
      </w:r>
    </w:p>
    <w:p>
      <w:pPr>
        <w:autoSpaceDE w:val="0"/>
        <w:autoSpaceDN w:val="0"/>
        <w:adjustRightInd w:val="0"/>
        <w:spacing w:line="600" w:lineRule="exact"/>
        <w:ind w:firstLine="640" w:firstLineChars="200"/>
        <w:rPr>
          <w:rFonts w:hint="eastAsia" w:ascii="仿宋" w:hAnsi="仿宋" w:eastAsia="仿宋" w:cs="Times New Roman"/>
          <w:kern w:val="0"/>
          <w:sz w:val="32"/>
          <w:szCs w:val="32"/>
        </w:rPr>
      </w:pPr>
      <w:r>
        <w:rPr>
          <w:rFonts w:hint="eastAsia" w:ascii="仿宋" w:hAnsi="仿宋" w:eastAsia="仿宋" w:cs="Times New Roman"/>
          <w:kern w:val="0"/>
          <w:sz w:val="32"/>
          <w:szCs w:val="32"/>
        </w:rPr>
        <w:t>（四）拟订全县事业单位人事制度改革总体方案，拟订事业单位职员、专业技术人员和工勤人员管理的措施并组织实施；归口管理全县专业技术人员职称工作，完善专业技术职称聘任制度，推行专业技术执业资格制度，完善专业技术资格考试制度。研究指导企业人事制度改革工作。</w:t>
      </w:r>
    </w:p>
    <w:p>
      <w:pPr>
        <w:autoSpaceDE w:val="0"/>
        <w:autoSpaceDN w:val="0"/>
        <w:adjustRightInd w:val="0"/>
        <w:spacing w:line="600" w:lineRule="exact"/>
        <w:ind w:firstLine="640" w:firstLineChars="200"/>
        <w:rPr>
          <w:rFonts w:hint="eastAsia" w:ascii="仿宋" w:hAnsi="仿宋" w:eastAsia="仿宋" w:cs="Times New Roman"/>
          <w:kern w:val="0"/>
          <w:sz w:val="32"/>
          <w:szCs w:val="32"/>
        </w:rPr>
      </w:pPr>
      <w:r>
        <w:rPr>
          <w:rFonts w:hint="eastAsia" w:ascii="仿宋" w:hAnsi="仿宋" w:eastAsia="仿宋" w:cs="Times New Roman"/>
          <w:kern w:val="0"/>
          <w:sz w:val="32"/>
          <w:szCs w:val="32"/>
        </w:rPr>
        <w:t>（五）综合管理全县国家公务员工作。完善国家公务员制度；指导和协调全县实施国家公务员制度工作；制定国家公务员培训规划并组织实施。</w:t>
      </w:r>
    </w:p>
    <w:p>
      <w:pPr>
        <w:autoSpaceDE w:val="0"/>
        <w:autoSpaceDN w:val="0"/>
        <w:adjustRightInd w:val="0"/>
        <w:spacing w:line="600" w:lineRule="exact"/>
        <w:ind w:firstLine="640" w:firstLineChars="200"/>
        <w:rPr>
          <w:rFonts w:hint="eastAsia" w:ascii="仿宋" w:hAnsi="仿宋" w:eastAsia="仿宋" w:cs="Times New Roman"/>
          <w:kern w:val="0"/>
          <w:sz w:val="32"/>
          <w:szCs w:val="32"/>
        </w:rPr>
      </w:pPr>
      <w:r>
        <w:rPr>
          <w:rFonts w:hint="eastAsia" w:ascii="仿宋" w:hAnsi="仿宋" w:eastAsia="仿宋" w:cs="Times New Roman"/>
          <w:kern w:val="0"/>
          <w:sz w:val="32"/>
          <w:szCs w:val="32"/>
        </w:rPr>
        <w:t>（六）负责全县人才资源规划开发工作；拟订人才流动规定，发展、规范人才市场；建立和完善人事争议仲裁制度；组织协调非师范类大中专毕业生就业制度改革；提出少量国家和省市急需、应予以保证的高校毕业生指令性就业计划；承办国家和省市特殊需要人员的选调工作；协调有关部门组织选派援疆、援藏干部及其内返安置工作。</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 w:hAnsi="仿宋" w:eastAsia="仿宋" w:cs="Times New Roman"/>
          <w:kern w:val="0"/>
          <w:sz w:val="32"/>
          <w:szCs w:val="32"/>
        </w:rPr>
      </w:pPr>
      <w:r>
        <w:rPr>
          <w:rFonts w:hint="eastAsia" w:ascii="仿宋" w:hAnsi="仿宋" w:eastAsia="仿宋" w:cs="Times New Roman"/>
          <w:kern w:val="0"/>
          <w:sz w:val="32"/>
          <w:szCs w:val="32"/>
          <w:lang w:eastAsia="zh-CN"/>
        </w:rPr>
        <w:t>（七）</w:t>
      </w:r>
      <w:r>
        <w:rPr>
          <w:rFonts w:hint="eastAsia" w:ascii="仿宋" w:hAnsi="仿宋" w:eastAsia="仿宋" w:cs="Times New Roman"/>
          <w:kern w:val="0"/>
          <w:sz w:val="32"/>
          <w:szCs w:val="32"/>
        </w:rPr>
        <w:t>综合管理全县机关、事业单位工作人员工资福利工作；组织协调全县机关、事业单位工勤人员建立岗位等级规范及技术等级考核评定工作；协调管理机关、事业单位工作人员的离退休、退职及伤残政策落实工作。</w:t>
      </w:r>
    </w:p>
    <w:p>
      <w:pPr>
        <w:autoSpaceDE w:val="0"/>
        <w:autoSpaceDN w:val="0"/>
        <w:adjustRightInd w:val="0"/>
        <w:spacing w:line="600" w:lineRule="exact"/>
        <w:ind w:firstLine="640" w:firstLineChars="200"/>
        <w:rPr>
          <w:rFonts w:hint="eastAsia" w:ascii="仿宋" w:hAnsi="仿宋" w:eastAsia="仿宋" w:cs="Times New Roman"/>
          <w:kern w:val="0"/>
          <w:sz w:val="32"/>
          <w:szCs w:val="32"/>
        </w:rPr>
      </w:pPr>
      <w:r>
        <w:rPr>
          <w:rFonts w:hint="eastAsia" w:ascii="仿宋" w:hAnsi="仿宋" w:eastAsia="仿宋" w:cs="Times New Roman"/>
          <w:kern w:val="0"/>
          <w:sz w:val="32"/>
          <w:szCs w:val="32"/>
        </w:rPr>
        <w:t>（八）承办县政府提请县人大常委会决定任免人员和县政府任免人员的行政手续等有关事宜；综合管理政府的奖励、表彰工作，会同有关部门拟订政府奖励办法，审核上报政府奖励表彰的人员，协调指导县政府各部门的全县性表彰活动。负责有关惩戒与申诉控告工作。</w:t>
      </w:r>
    </w:p>
    <w:p>
      <w:pPr>
        <w:autoSpaceDE w:val="0"/>
        <w:autoSpaceDN w:val="0"/>
        <w:adjustRightInd w:val="0"/>
        <w:spacing w:line="600" w:lineRule="exact"/>
        <w:ind w:firstLine="640" w:firstLineChars="200"/>
        <w:rPr>
          <w:rFonts w:hint="eastAsia" w:ascii="仿宋" w:hAnsi="仿宋" w:eastAsia="仿宋" w:cs="Times New Roman"/>
          <w:kern w:val="0"/>
          <w:sz w:val="32"/>
          <w:szCs w:val="32"/>
        </w:rPr>
      </w:pPr>
      <w:r>
        <w:rPr>
          <w:rFonts w:hint="eastAsia" w:ascii="仿宋" w:hAnsi="仿宋" w:eastAsia="仿宋" w:cs="Times New Roman"/>
          <w:kern w:val="0"/>
          <w:sz w:val="32"/>
          <w:szCs w:val="32"/>
        </w:rPr>
        <w:t>（九）负责军队转业干部的安置、培训及随调家属安置</w:t>
      </w:r>
      <w:r>
        <w:rPr>
          <w:rFonts w:hint="eastAsia" w:ascii="仿宋" w:hAnsi="仿宋" w:eastAsia="仿宋" w:cs="Times New Roman"/>
          <w:kern w:val="0"/>
          <w:sz w:val="32"/>
          <w:szCs w:val="32"/>
          <w:lang w:eastAsia="zh-CN"/>
        </w:rPr>
        <w:t>，配合上级部门做好</w:t>
      </w:r>
      <w:r>
        <w:rPr>
          <w:rFonts w:hint="eastAsia" w:ascii="仿宋" w:hAnsi="仿宋" w:eastAsia="仿宋" w:cs="Times New Roman"/>
          <w:kern w:val="0"/>
          <w:sz w:val="32"/>
          <w:szCs w:val="32"/>
        </w:rPr>
        <w:t>自主择业转业干部的管理工作，研究建立与社会主义市场经济体制相适应的军队转业干部安置制度。</w:t>
      </w:r>
    </w:p>
    <w:p>
      <w:pPr>
        <w:autoSpaceDE w:val="0"/>
        <w:autoSpaceDN w:val="0"/>
        <w:adjustRightInd w:val="0"/>
        <w:spacing w:line="600" w:lineRule="exact"/>
        <w:ind w:firstLine="640" w:firstLineChars="200"/>
        <w:rPr>
          <w:rFonts w:hint="eastAsia" w:ascii="仿宋" w:hAnsi="仿宋" w:eastAsia="仿宋" w:cs="Times New Roman"/>
          <w:kern w:val="0"/>
          <w:sz w:val="32"/>
          <w:szCs w:val="32"/>
        </w:rPr>
      </w:pPr>
      <w:r>
        <w:rPr>
          <w:rFonts w:hint="eastAsia" w:ascii="仿宋" w:hAnsi="仿宋" w:eastAsia="仿宋" w:cs="Times New Roman"/>
          <w:kern w:val="0"/>
          <w:sz w:val="32"/>
          <w:szCs w:val="32"/>
        </w:rPr>
        <w:t>（十）贯彻执行《中华人民共和国劳动法》等国家、省、市制定颁布的有关</w:t>
      </w:r>
      <w:r>
        <w:rPr>
          <w:rFonts w:hint="eastAsia" w:ascii="仿宋" w:hAnsi="仿宋" w:eastAsia="仿宋" w:cs="Times New Roman"/>
          <w:kern w:val="0"/>
          <w:sz w:val="32"/>
          <w:szCs w:val="32"/>
          <w:lang w:eastAsia="zh-CN"/>
        </w:rPr>
        <w:t>人力资源</w:t>
      </w:r>
      <w:r>
        <w:rPr>
          <w:rFonts w:hint="eastAsia" w:ascii="仿宋" w:hAnsi="仿宋" w:eastAsia="仿宋" w:cs="Times New Roman"/>
          <w:kern w:val="0"/>
          <w:sz w:val="32"/>
          <w:szCs w:val="32"/>
        </w:rPr>
        <w:t>和社会保障工作的法律法规、政策规定及实施办法，负责政策的咨询服务，负责本系统依法行政规范、执法监督规则的实施和监督检查。</w:t>
      </w:r>
    </w:p>
    <w:p>
      <w:pPr>
        <w:autoSpaceDE w:val="0"/>
        <w:autoSpaceDN w:val="0"/>
        <w:adjustRightInd w:val="0"/>
        <w:spacing w:line="600" w:lineRule="exact"/>
        <w:ind w:firstLine="640" w:firstLineChars="200"/>
        <w:rPr>
          <w:rFonts w:hint="eastAsia" w:ascii="仿宋" w:hAnsi="仿宋" w:eastAsia="仿宋" w:cs="Times New Roman"/>
          <w:kern w:val="0"/>
          <w:sz w:val="32"/>
          <w:szCs w:val="32"/>
        </w:rPr>
      </w:pPr>
      <w:r>
        <w:rPr>
          <w:rFonts w:hint="eastAsia" w:ascii="仿宋" w:hAnsi="仿宋" w:eastAsia="仿宋" w:cs="Times New Roman"/>
          <w:kern w:val="0"/>
          <w:sz w:val="32"/>
          <w:szCs w:val="32"/>
        </w:rPr>
        <w:t>（十</w:t>
      </w:r>
      <w:r>
        <w:rPr>
          <w:rFonts w:hint="eastAsia" w:ascii="仿宋" w:hAnsi="仿宋" w:eastAsia="仿宋" w:cs="Times New Roman"/>
          <w:kern w:val="0"/>
          <w:sz w:val="32"/>
          <w:szCs w:val="32"/>
          <w:lang w:eastAsia="zh-CN"/>
        </w:rPr>
        <w:t>一</w:t>
      </w:r>
      <w:r>
        <w:rPr>
          <w:rFonts w:hint="eastAsia" w:ascii="仿宋" w:hAnsi="仿宋" w:eastAsia="仿宋" w:cs="Times New Roman"/>
          <w:kern w:val="0"/>
          <w:sz w:val="32"/>
          <w:szCs w:val="32"/>
        </w:rPr>
        <w:t>）拟订全县</w:t>
      </w:r>
      <w:r>
        <w:rPr>
          <w:rFonts w:hint="eastAsia" w:ascii="仿宋" w:hAnsi="仿宋" w:eastAsia="仿宋" w:cs="Times New Roman"/>
          <w:kern w:val="0"/>
          <w:sz w:val="32"/>
          <w:szCs w:val="32"/>
          <w:lang w:eastAsia="zh-CN"/>
        </w:rPr>
        <w:t>人力资源</w:t>
      </w:r>
      <w:r>
        <w:rPr>
          <w:rFonts w:hint="eastAsia" w:ascii="仿宋" w:hAnsi="仿宋" w:eastAsia="仿宋" w:cs="Times New Roman"/>
          <w:kern w:val="0"/>
          <w:sz w:val="32"/>
          <w:szCs w:val="32"/>
        </w:rPr>
        <w:t>和社会保障制度的总体改革方案，以及全县</w:t>
      </w:r>
      <w:r>
        <w:rPr>
          <w:rFonts w:hint="eastAsia" w:ascii="仿宋" w:hAnsi="仿宋" w:eastAsia="仿宋" w:cs="Times New Roman"/>
          <w:kern w:val="0"/>
          <w:sz w:val="32"/>
          <w:szCs w:val="32"/>
          <w:lang w:eastAsia="zh-CN"/>
        </w:rPr>
        <w:t>人力资源</w:t>
      </w:r>
      <w:r>
        <w:rPr>
          <w:rFonts w:hint="eastAsia" w:ascii="仿宋" w:hAnsi="仿宋" w:eastAsia="仿宋" w:cs="Times New Roman"/>
          <w:kern w:val="0"/>
          <w:sz w:val="32"/>
          <w:szCs w:val="32"/>
        </w:rPr>
        <w:t>和社会保障事业发展的中长期规划和年度计划，并组织实施和监督检查。</w:t>
      </w:r>
    </w:p>
    <w:p>
      <w:pPr>
        <w:autoSpaceDE w:val="0"/>
        <w:autoSpaceDN w:val="0"/>
        <w:adjustRightInd w:val="0"/>
        <w:spacing w:line="600" w:lineRule="exact"/>
        <w:ind w:firstLine="640" w:firstLineChars="200"/>
        <w:rPr>
          <w:rFonts w:hint="eastAsia" w:ascii="仿宋" w:hAnsi="仿宋" w:eastAsia="仿宋" w:cs="Times New Roman"/>
          <w:kern w:val="0"/>
          <w:sz w:val="32"/>
          <w:szCs w:val="32"/>
        </w:rPr>
      </w:pPr>
      <w:r>
        <w:rPr>
          <w:rFonts w:hint="eastAsia" w:ascii="仿宋" w:hAnsi="仿宋" w:eastAsia="仿宋" w:cs="Times New Roman"/>
          <w:kern w:val="0"/>
          <w:sz w:val="32"/>
          <w:szCs w:val="32"/>
        </w:rPr>
        <w:t>（十</w:t>
      </w:r>
      <w:r>
        <w:rPr>
          <w:rFonts w:hint="eastAsia" w:ascii="仿宋" w:hAnsi="仿宋" w:eastAsia="仿宋" w:cs="Times New Roman"/>
          <w:kern w:val="0"/>
          <w:sz w:val="32"/>
          <w:szCs w:val="32"/>
          <w:lang w:eastAsia="zh-CN"/>
        </w:rPr>
        <w:t>二</w:t>
      </w:r>
      <w:r>
        <w:rPr>
          <w:rFonts w:hint="eastAsia" w:ascii="仿宋" w:hAnsi="仿宋" w:eastAsia="仿宋" w:cs="Times New Roman"/>
          <w:kern w:val="0"/>
          <w:sz w:val="32"/>
          <w:szCs w:val="32"/>
        </w:rPr>
        <w:t>）监督检查</w:t>
      </w:r>
      <w:r>
        <w:rPr>
          <w:rFonts w:hint="eastAsia" w:ascii="仿宋" w:hAnsi="仿宋" w:eastAsia="仿宋" w:cs="Times New Roman"/>
          <w:kern w:val="0"/>
          <w:sz w:val="32"/>
          <w:szCs w:val="32"/>
          <w:lang w:eastAsia="zh-CN"/>
        </w:rPr>
        <w:t>人力资源</w:t>
      </w:r>
      <w:r>
        <w:rPr>
          <w:rFonts w:hint="eastAsia" w:ascii="仿宋" w:hAnsi="仿宋" w:eastAsia="仿宋" w:cs="Times New Roman"/>
          <w:kern w:val="0"/>
          <w:sz w:val="32"/>
          <w:szCs w:val="32"/>
        </w:rPr>
        <w:t>和社会保障法律、法规执行情况，依法行使国家</w:t>
      </w:r>
      <w:r>
        <w:rPr>
          <w:rFonts w:hint="eastAsia" w:ascii="仿宋" w:hAnsi="仿宋" w:eastAsia="仿宋" w:cs="Times New Roman"/>
          <w:kern w:val="0"/>
          <w:sz w:val="32"/>
          <w:szCs w:val="32"/>
          <w:lang w:eastAsia="zh-CN"/>
        </w:rPr>
        <w:t>人力资源</w:t>
      </w:r>
      <w:r>
        <w:rPr>
          <w:rFonts w:hint="eastAsia" w:ascii="仿宋" w:hAnsi="仿宋" w:eastAsia="仿宋" w:cs="Times New Roman"/>
          <w:kern w:val="0"/>
          <w:sz w:val="32"/>
          <w:szCs w:val="32"/>
        </w:rPr>
        <w:t>和社会保障监督检查职权；制定</w:t>
      </w:r>
      <w:r>
        <w:rPr>
          <w:rFonts w:hint="eastAsia" w:ascii="仿宋" w:hAnsi="仿宋" w:eastAsia="仿宋" w:cs="Times New Roman"/>
          <w:kern w:val="0"/>
          <w:sz w:val="32"/>
          <w:szCs w:val="32"/>
          <w:lang w:eastAsia="zh-CN"/>
        </w:rPr>
        <w:t>人力资源</w:t>
      </w:r>
      <w:r>
        <w:rPr>
          <w:rFonts w:hint="eastAsia" w:ascii="仿宋" w:hAnsi="仿宋" w:eastAsia="仿宋" w:cs="Times New Roman"/>
          <w:kern w:val="0"/>
          <w:sz w:val="32"/>
          <w:szCs w:val="32"/>
        </w:rPr>
        <w:t>和社会保障监督检查规范。</w:t>
      </w:r>
    </w:p>
    <w:p>
      <w:pPr>
        <w:autoSpaceDE w:val="0"/>
        <w:autoSpaceDN w:val="0"/>
        <w:adjustRightInd w:val="0"/>
        <w:spacing w:line="600" w:lineRule="exact"/>
        <w:ind w:firstLine="640" w:firstLineChars="200"/>
        <w:rPr>
          <w:rFonts w:hint="eastAsia" w:ascii="仿宋" w:hAnsi="仿宋" w:eastAsia="仿宋" w:cs="Times New Roman"/>
          <w:kern w:val="0"/>
          <w:sz w:val="32"/>
          <w:szCs w:val="32"/>
        </w:rPr>
      </w:pPr>
      <w:r>
        <w:rPr>
          <w:rFonts w:hint="eastAsia" w:ascii="仿宋" w:hAnsi="仿宋" w:eastAsia="仿宋" w:cs="Times New Roman"/>
          <w:kern w:val="0"/>
          <w:sz w:val="32"/>
          <w:szCs w:val="32"/>
        </w:rPr>
        <w:t>（十</w:t>
      </w:r>
      <w:r>
        <w:rPr>
          <w:rFonts w:hint="eastAsia" w:ascii="仿宋" w:hAnsi="仿宋" w:eastAsia="仿宋" w:cs="Times New Roman"/>
          <w:kern w:val="0"/>
          <w:sz w:val="32"/>
          <w:szCs w:val="32"/>
          <w:lang w:eastAsia="zh-CN"/>
        </w:rPr>
        <w:t>三</w:t>
      </w:r>
      <w:r>
        <w:rPr>
          <w:rFonts w:hint="eastAsia" w:ascii="仿宋" w:hAnsi="仿宋" w:eastAsia="仿宋" w:cs="Times New Roman"/>
          <w:kern w:val="0"/>
          <w:sz w:val="32"/>
          <w:szCs w:val="32"/>
        </w:rPr>
        <w:t>）统筹管理全县人力资源的开发利用和就业工作，拟订全县促进城乡就业的基本规定和措施，并组织实施；制定人力资源市场管理规划并实施监督，指导人力资源市场的发展；组织建立健全就业服务体系，指导劳动力就业服务事业发展；拟订企业下岗职工分流安置、基本生活保障和再就业以及农村剩余劳动力跨地区有序流动的规定、措施并组织实施；负责全县公民境外就业的管理和境外人员来我县就业的管理审核。</w:t>
      </w:r>
    </w:p>
    <w:p>
      <w:pPr>
        <w:autoSpaceDE w:val="0"/>
        <w:autoSpaceDN w:val="0"/>
        <w:adjustRightInd w:val="0"/>
        <w:spacing w:line="600" w:lineRule="exact"/>
        <w:ind w:firstLine="640" w:firstLineChars="200"/>
        <w:rPr>
          <w:rFonts w:hint="eastAsia" w:ascii="仿宋" w:hAnsi="仿宋" w:eastAsia="仿宋" w:cs="Times New Roman"/>
          <w:kern w:val="0"/>
          <w:sz w:val="32"/>
          <w:szCs w:val="32"/>
        </w:rPr>
      </w:pPr>
      <w:r>
        <w:rPr>
          <w:rFonts w:hint="eastAsia" w:ascii="仿宋" w:hAnsi="仿宋" w:eastAsia="仿宋" w:cs="Times New Roman"/>
          <w:kern w:val="0"/>
          <w:sz w:val="32"/>
          <w:szCs w:val="32"/>
        </w:rPr>
        <w:t>（十</w:t>
      </w:r>
      <w:r>
        <w:rPr>
          <w:rFonts w:hint="eastAsia" w:ascii="仿宋" w:hAnsi="仿宋" w:eastAsia="仿宋" w:cs="Times New Roman"/>
          <w:kern w:val="0"/>
          <w:sz w:val="32"/>
          <w:szCs w:val="32"/>
          <w:lang w:eastAsia="zh-CN"/>
        </w:rPr>
        <w:t>四</w:t>
      </w:r>
      <w:r>
        <w:rPr>
          <w:rFonts w:hint="eastAsia" w:ascii="仿宋" w:hAnsi="仿宋" w:eastAsia="仿宋" w:cs="Times New Roman"/>
          <w:kern w:val="0"/>
          <w:sz w:val="32"/>
          <w:szCs w:val="32"/>
        </w:rPr>
        <w:t>）拟订全县企业职工工资收入及其他劳动报酬的调控办法和措施；负责全县企业工资指导线和最低工资保障的政策组织和实施；综合协调全县非公有制企业劳动工资政策；贯彻执行行业工资收入调节政策和国有企业经营者收入分配政策，并负责县属企业工资总额和经营者收入的审核。</w:t>
      </w:r>
    </w:p>
    <w:p>
      <w:pPr>
        <w:autoSpaceDE w:val="0"/>
        <w:autoSpaceDN w:val="0"/>
        <w:adjustRightInd w:val="0"/>
        <w:spacing w:line="600" w:lineRule="exact"/>
        <w:ind w:firstLine="640" w:firstLineChars="200"/>
        <w:rPr>
          <w:rFonts w:hint="eastAsia" w:ascii="仿宋" w:hAnsi="仿宋" w:eastAsia="仿宋" w:cs="Times New Roman"/>
          <w:kern w:val="0"/>
          <w:sz w:val="32"/>
          <w:szCs w:val="32"/>
        </w:rPr>
      </w:pPr>
      <w:r>
        <w:rPr>
          <w:rFonts w:hint="eastAsia" w:ascii="仿宋" w:hAnsi="仿宋" w:eastAsia="仿宋" w:cs="Times New Roman"/>
          <w:kern w:val="0"/>
          <w:sz w:val="32"/>
          <w:szCs w:val="32"/>
        </w:rPr>
        <w:t>（十</w:t>
      </w:r>
      <w:r>
        <w:rPr>
          <w:rFonts w:hint="eastAsia" w:ascii="仿宋" w:hAnsi="仿宋" w:eastAsia="仿宋" w:cs="Times New Roman"/>
          <w:kern w:val="0"/>
          <w:sz w:val="32"/>
          <w:szCs w:val="32"/>
          <w:lang w:eastAsia="zh-CN"/>
        </w:rPr>
        <w:t>五</w:t>
      </w:r>
      <w:r>
        <w:rPr>
          <w:rFonts w:hint="eastAsia" w:ascii="仿宋" w:hAnsi="仿宋" w:eastAsia="仿宋" w:cs="Times New Roman"/>
          <w:kern w:val="0"/>
          <w:sz w:val="32"/>
          <w:szCs w:val="32"/>
        </w:rPr>
        <w:t>）贯彻执行劳动关系基本规则，拟订劳动关系调整和劳动合同、集体合同制度的实施办法，指导和管理劳动合同、集体合同及劳动合同鉴证工作；负责劳动争议仲裁工作；监督检查企业工作时间、休假制度和女工、未成年人特殊保护的政策、规定的实施；制定适用于各类企业惩处职工的基本规则；按分工负责政策性安置和调配工作；参与评定市级企业劳动模范的有关工作。</w:t>
      </w:r>
    </w:p>
    <w:p>
      <w:pPr>
        <w:autoSpaceDE w:val="0"/>
        <w:autoSpaceDN w:val="0"/>
        <w:adjustRightInd w:val="0"/>
        <w:spacing w:line="600" w:lineRule="exact"/>
        <w:ind w:firstLine="640" w:firstLineChars="200"/>
        <w:rPr>
          <w:rFonts w:hint="eastAsia" w:ascii="仿宋" w:hAnsi="仿宋" w:eastAsia="仿宋" w:cs="Times New Roman"/>
          <w:kern w:val="0"/>
          <w:sz w:val="32"/>
          <w:szCs w:val="32"/>
        </w:rPr>
      </w:pPr>
      <w:r>
        <w:rPr>
          <w:rFonts w:hint="eastAsia" w:ascii="仿宋" w:hAnsi="仿宋" w:eastAsia="仿宋" w:cs="Times New Roman"/>
          <w:kern w:val="0"/>
          <w:sz w:val="32"/>
          <w:szCs w:val="32"/>
        </w:rPr>
        <w:t>（十</w:t>
      </w:r>
      <w:r>
        <w:rPr>
          <w:rFonts w:hint="eastAsia" w:ascii="仿宋" w:hAnsi="仿宋" w:eastAsia="仿宋" w:cs="Times New Roman"/>
          <w:kern w:val="0"/>
          <w:sz w:val="32"/>
          <w:szCs w:val="32"/>
          <w:lang w:eastAsia="zh-CN"/>
        </w:rPr>
        <w:t>六</w:t>
      </w:r>
      <w:r>
        <w:rPr>
          <w:rFonts w:hint="eastAsia" w:ascii="仿宋" w:hAnsi="仿宋" w:eastAsia="仿宋" w:cs="Times New Roman"/>
          <w:kern w:val="0"/>
          <w:sz w:val="32"/>
          <w:szCs w:val="32"/>
        </w:rPr>
        <w:t>）组织贯彻执行职业分类、职业技能国家标准和相关行业标准，推行职业资格证书制度；拟订县就业训练中心、社会力量举办的就业培训机构的发展规划和管理规则；拟订企业在职职工技能培训和企业下岗职工、失业人员就业培训的规划和措施，并组织实施；制定职业技能人才培训、表彰、奖励和职业技能竞赛的规则和措施；贯彻执行劳动预备制度，并负责具体办法的实施。</w:t>
      </w:r>
    </w:p>
    <w:p>
      <w:pPr>
        <w:autoSpaceDE w:val="0"/>
        <w:autoSpaceDN w:val="0"/>
        <w:adjustRightInd w:val="0"/>
        <w:spacing w:line="600" w:lineRule="exact"/>
        <w:ind w:firstLine="640" w:firstLineChars="200"/>
        <w:rPr>
          <w:rFonts w:hint="eastAsia" w:ascii="仿宋" w:hAnsi="仿宋" w:eastAsia="仿宋" w:cs="Times New Roman"/>
          <w:kern w:val="0"/>
          <w:sz w:val="32"/>
          <w:szCs w:val="32"/>
        </w:rPr>
      </w:pPr>
      <w:r>
        <w:rPr>
          <w:rFonts w:hint="eastAsia" w:ascii="仿宋" w:hAnsi="仿宋" w:eastAsia="仿宋" w:cs="Times New Roman"/>
          <w:kern w:val="0"/>
          <w:sz w:val="32"/>
          <w:szCs w:val="32"/>
        </w:rPr>
        <w:t>（十</w:t>
      </w:r>
      <w:r>
        <w:rPr>
          <w:rFonts w:hint="eastAsia" w:ascii="仿宋" w:hAnsi="仿宋" w:eastAsia="仿宋" w:cs="Times New Roman"/>
          <w:kern w:val="0"/>
          <w:sz w:val="32"/>
          <w:szCs w:val="32"/>
          <w:lang w:eastAsia="zh-CN"/>
        </w:rPr>
        <w:t>七</w:t>
      </w:r>
      <w:r>
        <w:rPr>
          <w:rFonts w:hint="eastAsia" w:ascii="仿宋" w:hAnsi="仿宋" w:eastAsia="仿宋" w:cs="Times New Roman"/>
          <w:kern w:val="0"/>
          <w:sz w:val="32"/>
          <w:szCs w:val="32"/>
        </w:rPr>
        <w:t>）</w:t>
      </w:r>
      <w:r>
        <w:rPr>
          <w:rFonts w:hint="eastAsia" w:ascii="仿宋" w:hAnsi="仿宋" w:eastAsia="仿宋" w:cs="Times New Roman"/>
          <w:kern w:val="0"/>
          <w:sz w:val="32"/>
          <w:szCs w:val="32"/>
          <w:lang w:eastAsia="zh-CN"/>
        </w:rPr>
        <w:t>贯彻执行《中华人民共和国社会保险法》</w:t>
      </w:r>
      <w:bookmarkStart w:id="1" w:name="_GoBack"/>
      <w:bookmarkEnd w:id="1"/>
      <w:r>
        <w:rPr>
          <w:rFonts w:hint="eastAsia" w:ascii="仿宋" w:hAnsi="仿宋" w:eastAsia="仿宋" w:cs="Times New Roman"/>
          <w:kern w:val="0"/>
          <w:sz w:val="32"/>
          <w:szCs w:val="32"/>
          <w:lang w:eastAsia="zh-CN"/>
        </w:rPr>
        <w:t>，</w:t>
      </w:r>
      <w:r>
        <w:rPr>
          <w:rFonts w:hint="eastAsia" w:ascii="仿宋" w:hAnsi="仿宋" w:eastAsia="仿宋" w:cs="Times New Roman"/>
          <w:kern w:val="0"/>
          <w:sz w:val="32"/>
          <w:szCs w:val="32"/>
        </w:rPr>
        <w:t>负责全县养老、失业、医疗、工伤</w:t>
      </w:r>
      <w:r>
        <w:rPr>
          <w:rFonts w:hint="eastAsia" w:ascii="仿宋" w:hAnsi="仿宋" w:eastAsia="仿宋" w:cs="Times New Roman"/>
          <w:kern w:val="0"/>
          <w:sz w:val="32"/>
          <w:szCs w:val="32"/>
          <w:lang w:eastAsia="zh-CN"/>
        </w:rPr>
        <w:t>、</w:t>
      </w:r>
      <w:r>
        <w:rPr>
          <w:rFonts w:hint="eastAsia" w:ascii="仿宋" w:hAnsi="仿宋" w:eastAsia="仿宋" w:cs="Times New Roman"/>
          <w:kern w:val="0"/>
          <w:sz w:val="32"/>
          <w:szCs w:val="32"/>
        </w:rPr>
        <w:t>生育等社会保险各项法律法规政策的实施，并组织监督和检查；负责对全县社会保险基金的支付、管理工作，并实施行政监督；负责社会保险经办机构的管理；拟订全县社会保险服务体系规划并组织实施；负责全县企业职工保险福利政策及工伤认定、职业病伤残等级鉴定和劳动能力鉴定的组织实施工作。</w:t>
      </w:r>
    </w:p>
    <w:p>
      <w:pPr>
        <w:autoSpaceDE w:val="0"/>
        <w:autoSpaceDN w:val="0"/>
        <w:adjustRightInd w:val="0"/>
        <w:spacing w:line="600" w:lineRule="exact"/>
        <w:ind w:firstLine="640" w:firstLineChars="200"/>
        <w:rPr>
          <w:rFonts w:hint="eastAsia" w:ascii="仿宋" w:hAnsi="仿宋" w:eastAsia="仿宋" w:cs="Times New Roman"/>
          <w:kern w:val="0"/>
          <w:sz w:val="32"/>
          <w:szCs w:val="32"/>
        </w:rPr>
      </w:pPr>
      <w:r>
        <w:rPr>
          <w:rFonts w:hint="eastAsia" w:ascii="仿宋" w:hAnsi="仿宋" w:eastAsia="仿宋" w:cs="Times New Roman"/>
          <w:kern w:val="0"/>
          <w:sz w:val="32"/>
          <w:szCs w:val="32"/>
        </w:rPr>
        <w:t>（十</w:t>
      </w:r>
      <w:r>
        <w:rPr>
          <w:rFonts w:hint="eastAsia" w:ascii="仿宋" w:hAnsi="仿宋" w:eastAsia="仿宋" w:cs="Times New Roman"/>
          <w:kern w:val="0"/>
          <w:sz w:val="32"/>
          <w:szCs w:val="32"/>
          <w:lang w:eastAsia="zh-CN"/>
        </w:rPr>
        <w:t>八</w:t>
      </w:r>
      <w:r>
        <w:rPr>
          <w:rFonts w:hint="eastAsia" w:ascii="仿宋" w:hAnsi="仿宋" w:eastAsia="仿宋" w:cs="Times New Roman"/>
          <w:kern w:val="0"/>
          <w:sz w:val="32"/>
          <w:szCs w:val="32"/>
        </w:rPr>
        <w:t>）负责承担全县人力资源和社会保障统计工作和有关信息的采集、处理；定期发布人力资源和社会保障事业信息资料及发展预测报告。</w:t>
      </w:r>
    </w:p>
    <w:p>
      <w:pPr>
        <w:autoSpaceDE w:val="0"/>
        <w:autoSpaceDN w:val="0"/>
        <w:adjustRightInd w:val="0"/>
        <w:spacing w:line="60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（十</w:t>
      </w:r>
      <w:r>
        <w:rPr>
          <w:rFonts w:hint="eastAsia" w:ascii="仿宋" w:hAnsi="仿宋" w:eastAsia="仿宋" w:cs="Times New Roman"/>
          <w:kern w:val="0"/>
          <w:sz w:val="32"/>
          <w:szCs w:val="32"/>
          <w:lang w:eastAsia="zh-CN"/>
        </w:rPr>
        <w:t>九</w:t>
      </w:r>
      <w:r>
        <w:rPr>
          <w:rFonts w:hint="eastAsia" w:ascii="仿宋" w:hAnsi="仿宋" w:eastAsia="仿宋" w:cs="Times New Roman"/>
          <w:kern w:val="0"/>
          <w:sz w:val="32"/>
          <w:szCs w:val="32"/>
        </w:rPr>
        <w:t>）承办县政府交办的其他事项。</w:t>
      </w:r>
    </w:p>
    <w:p>
      <w:pPr>
        <w:widowControl/>
        <w:spacing w:line="584" w:lineRule="exact"/>
        <w:ind w:firstLine="964" w:firstLineChars="300"/>
        <w:jc w:val="left"/>
        <w:rPr>
          <w:rFonts w:ascii="楷体" w:hAnsi="楷体" w:eastAsia="楷体" w:cs="Times New Roman"/>
          <w:b/>
          <w:bCs/>
          <w:sz w:val="32"/>
          <w:szCs w:val="32"/>
        </w:rPr>
      </w:pPr>
      <w:r>
        <w:rPr>
          <w:rFonts w:hint="eastAsia" w:ascii="楷体" w:hAnsi="楷体" w:eastAsia="楷体" w:cs="楷体"/>
          <w:b/>
          <w:bCs/>
          <w:sz w:val="32"/>
          <w:szCs w:val="32"/>
          <w:lang w:eastAsia="zh-CN"/>
        </w:rPr>
        <w:t>二、部门决算单位构成</w:t>
      </w:r>
    </w:p>
    <w:p>
      <w:pPr>
        <w:jc w:val="center"/>
        <w:outlineLvl w:val="0"/>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部门机构设置情况</w:t>
      </w:r>
    </w:p>
    <w:tbl>
      <w:tblPr>
        <w:tblStyle w:val="7"/>
        <w:tblW w:w="104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23"/>
        <w:gridCol w:w="1380"/>
        <w:gridCol w:w="1155"/>
        <w:gridCol w:w="37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123"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单位名称</w:t>
            </w:r>
          </w:p>
        </w:tc>
        <w:tc>
          <w:tcPr>
            <w:tcW w:w="1380"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单位性质</w:t>
            </w:r>
          </w:p>
        </w:tc>
        <w:tc>
          <w:tcPr>
            <w:tcW w:w="1155"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单位规格</w:t>
            </w:r>
          </w:p>
        </w:tc>
        <w:tc>
          <w:tcPr>
            <w:tcW w:w="3762"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123" w:type="dxa"/>
            <w:vMerge w:val="continue"/>
            <w:vAlign w:val="center"/>
          </w:tcPr>
          <w:p>
            <w:pPr>
              <w:spacing w:line="300" w:lineRule="exact"/>
              <w:jc w:val="left"/>
              <w:outlineLvl w:val="0"/>
              <w:rPr>
                <w:rFonts w:ascii="Times New Roman" w:hAnsi="Times New Roman" w:cs="Times New Roman"/>
              </w:rPr>
            </w:pPr>
          </w:p>
        </w:tc>
        <w:tc>
          <w:tcPr>
            <w:tcW w:w="1380" w:type="dxa"/>
            <w:vMerge w:val="continue"/>
            <w:vAlign w:val="center"/>
          </w:tcPr>
          <w:p>
            <w:pPr>
              <w:spacing w:line="300" w:lineRule="exact"/>
              <w:jc w:val="left"/>
              <w:outlineLvl w:val="0"/>
              <w:rPr>
                <w:rFonts w:ascii="Times New Roman" w:hAnsi="Times New Roman" w:cs="Times New Roman"/>
              </w:rPr>
            </w:pPr>
          </w:p>
        </w:tc>
        <w:tc>
          <w:tcPr>
            <w:tcW w:w="1155" w:type="dxa"/>
            <w:vMerge w:val="continue"/>
            <w:vAlign w:val="center"/>
          </w:tcPr>
          <w:p>
            <w:pPr>
              <w:spacing w:line="300" w:lineRule="exact"/>
              <w:jc w:val="left"/>
              <w:outlineLvl w:val="0"/>
              <w:rPr>
                <w:rFonts w:ascii="Times New Roman" w:hAnsi="Times New Roman" w:cs="Times New Roman"/>
              </w:rPr>
            </w:pPr>
          </w:p>
        </w:tc>
        <w:tc>
          <w:tcPr>
            <w:tcW w:w="3762" w:type="dxa"/>
            <w:vMerge w:val="continue"/>
            <w:vAlign w:val="center"/>
          </w:tcPr>
          <w:p>
            <w:pPr>
              <w:spacing w:line="300" w:lineRule="exact"/>
              <w:jc w:val="left"/>
              <w:outlineLvl w:val="0"/>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6" w:hRule="atLeast"/>
          <w:jc w:val="center"/>
        </w:trPr>
        <w:tc>
          <w:tcPr>
            <w:tcW w:w="4123" w:type="dxa"/>
            <w:tcBorders>
              <w:bottom w:val="single" w:color="auto" w:sz="4" w:space="0"/>
            </w:tcBorders>
            <w:vAlign w:val="center"/>
          </w:tcPr>
          <w:p>
            <w:pPr>
              <w:spacing w:line="300" w:lineRule="exact"/>
              <w:ind w:firstLine="210" w:firstLineChars="100"/>
              <w:jc w:val="left"/>
              <w:rPr>
                <w:rFonts w:ascii="Times New Roman" w:hAnsi="Times New Roman" w:eastAsia="方正书宋_GBK" w:cs="Times New Roman"/>
              </w:rPr>
            </w:pPr>
            <w:r>
              <w:rPr>
                <w:rFonts w:hint="eastAsia" w:ascii="Times New Roman" w:hAnsi="Times New Roman" w:eastAsia="方正书宋_GBK" w:cs="方正书宋_GBK"/>
              </w:rPr>
              <w:t>大厂回族自治县人力资源和社会保障局</w:t>
            </w:r>
          </w:p>
        </w:tc>
        <w:tc>
          <w:tcPr>
            <w:tcW w:w="1380" w:type="dxa"/>
            <w:tcBorders>
              <w:bottom w:val="single" w:color="auto" w:sz="4" w:space="0"/>
            </w:tcBorders>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方正书宋_GBK"/>
              </w:rPr>
              <w:t>行政</w:t>
            </w:r>
          </w:p>
        </w:tc>
        <w:tc>
          <w:tcPr>
            <w:tcW w:w="1155" w:type="dxa"/>
            <w:tcBorders>
              <w:bottom w:val="single" w:color="auto" w:sz="4" w:space="0"/>
            </w:tcBorders>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正科级</w:t>
            </w:r>
          </w:p>
        </w:tc>
        <w:tc>
          <w:tcPr>
            <w:tcW w:w="3762" w:type="dxa"/>
            <w:tcBorders>
              <w:bottom w:val="single" w:color="auto" w:sz="4" w:space="0"/>
            </w:tcBorders>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4123" w:type="dxa"/>
            <w:tcBorders>
              <w:top w:val="single" w:color="auto" w:sz="4" w:space="0"/>
              <w:bottom w:val="single" w:color="auto" w:sz="4" w:space="0"/>
            </w:tcBorders>
            <w:vAlign w:val="center"/>
          </w:tcPr>
          <w:p>
            <w:pPr>
              <w:spacing w:line="300" w:lineRule="exact"/>
              <w:ind w:firstLine="840" w:firstLineChars="400"/>
              <w:jc w:val="left"/>
              <w:rPr>
                <w:rFonts w:ascii="Times New Roman" w:hAnsi="Times New Roman" w:eastAsia="方正书宋_GBK" w:cs="Times New Roman"/>
              </w:rPr>
            </w:pPr>
            <w:r>
              <w:rPr>
                <w:rFonts w:hint="eastAsia" w:ascii="Times New Roman" w:hAnsi="Times New Roman" w:eastAsia="方正书宋_GBK" w:cs="方正书宋_GBK"/>
              </w:rPr>
              <w:t>大厂回族自治县就业局</w:t>
            </w:r>
          </w:p>
        </w:tc>
        <w:tc>
          <w:tcPr>
            <w:tcW w:w="1380" w:type="dxa"/>
            <w:tcBorders>
              <w:top w:val="single" w:color="auto" w:sz="4" w:space="0"/>
              <w:bottom w:val="single" w:color="auto" w:sz="4" w:space="0"/>
            </w:tcBorders>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方正书宋_GBK"/>
              </w:rPr>
              <w:t>事业</w:t>
            </w:r>
          </w:p>
        </w:tc>
        <w:tc>
          <w:tcPr>
            <w:tcW w:w="1155" w:type="dxa"/>
            <w:tcBorders>
              <w:top w:val="single" w:color="auto" w:sz="4" w:space="0"/>
              <w:bottom w:val="single" w:color="auto" w:sz="4" w:space="0"/>
            </w:tcBorders>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正科级</w:t>
            </w:r>
          </w:p>
        </w:tc>
        <w:tc>
          <w:tcPr>
            <w:tcW w:w="3762" w:type="dxa"/>
            <w:tcBorders>
              <w:top w:val="single" w:color="auto" w:sz="4" w:space="0"/>
              <w:bottom w:val="single" w:color="auto" w:sz="4" w:space="0"/>
            </w:tcBorders>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财政性资金基本保证</w:t>
            </w:r>
          </w:p>
        </w:tc>
      </w:tr>
    </w:tbl>
    <w:p>
      <w:pPr>
        <w:spacing w:line="300" w:lineRule="exact"/>
        <w:ind w:firstLine="1960" w:firstLineChars="700"/>
        <w:jc w:val="left"/>
        <w:rPr>
          <w:rFonts w:hint="eastAsia" w:ascii="宋体" w:hAnsi="宋体" w:cs="宋体"/>
          <w:sz w:val="28"/>
          <w:szCs w:val="36"/>
          <w:lang w:val="en-US" w:eastAsia="zh-CN"/>
        </w:rPr>
      </w:pPr>
    </w:p>
    <w:p>
      <w:pPr>
        <w:spacing w:line="600" w:lineRule="exact"/>
        <w:jc w:val="center"/>
        <w:rPr>
          <w:rFonts w:ascii="黑体" w:hAnsi="黑体" w:eastAsia="黑体"/>
          <w:b/>
          <w:sz w:val="32"/>
          <w:szCs w:val="32"/>
        </w:rPr>
      </w:pPr>
      <w:r>
        <w:rPr>
          <w:rFonts w:hint="eastAsia" w:ascii="黑体" w:hAnsi="黑体" w:eastAsia="黑体"/>
          <w:b/>
          <w:sz w:val="32"/>
          <w:szCs w:val="32"/>
          <w:lang w:val="en-US" w:eastAsia="zh-CN"/>
        </w:rPr>
        <w:t>第二部分  2017年度</w:t>
      </w:r>
      <w:r>
        <w:rPr>
          <w:rFonts w:hint="eastAsia" w:ascii="黑体" w:hAnsi="黑体" w:eastAsia="黑体"/>
          <w:b/>
          <w:sz w:val="32"/>
          <w:szCs w:val="32"/>
        </w:rPr>
        <w:t>部门决算报表（附</w:t>
      </w:r>
      <w:r>
        <w:rPr>
          <w:rFonts w:hint="eastAsia" w:ascii="黑体" w:hAnsi="黑体" w:eastAsia="黑体"/>
          <w:b/>
          <w:sz w:val="32"/>
          <w:szCs w:val="32"/>
          <w:lang w:eastAsia="zh-CN"/>
        </w:rPr>
        <w:t>件</w:t>
      </w:r>
      <w:r>
        <w:rPr>
          <w:rFonts w:hint="eastAsia" w:ascii="黑体" w:hAnsi="黑体" w:eastAsia="黑体"/>
          <w:b/>
          <w:sz w:val="32"/>
          <w:szCs w:val="32"/>
        </w:rPr>
        <w:t>）</w:t>
      </w:r>
    </w:p>
    <w:p>
      <w:pPr>
        <w:spacing w:line="600" w:lineRule="exact"/>
        <w:rPr>
          <w:rFonts w:ascii="黑体" w:hAnsi="黑体" w:eastAsia="黑体"/>
          <w:b/>
          <w:sz w:val="32"/>
          <w:szCs w:val="32"/>
        </w:rPr>
      </w:pPr>
      <w:r>
        <w:rPr>
          <w:rFonts w:hint="eastAsia" w:ascii="黑体" w:hAnsi="黑体" w:eastAsia="黑体"/>
          <w:b/>
          <w:sz w:val="32"/>
          <w:szCs w:val="32"/>
        </w:rPr>
        <w:t xml:space="preserve">      </w:t>
      </w:r>
      <w:r>
        <w:rPr>
          <w:rFonts w:hint="eastAsia" w:ascii="黑体" w:hAnsi="黑体" w:eastAsia="黑体"/>
          <w:b/>
          <w:sz w:val="32"/>
          <w:szCs w:val="32"/>
          <w:lang w:val="en-US" w:eastAsia="zh-CN"/>
        </w:rPr>
        <w:t xml:space="preserve">     </w:t>
      </w:r>
    </w:p>
    <w:p>
      <w:pPr>
        <w:spacing w:line="540" w:lineRule="exact"/>
        <w:ind w:firstLine="1280" w:firstLineChars="400"/>
        <w:rPr>
          <w:rFonts w:hint="eastAsia" w:ascii="仿宋" w:hAnsi="仿宋" w:eastAsia="仿宋"/>
          <w:sz w:val="32"/>
          <w:szCs w:val="32"/>
        </w:rPr>
      </w:pPr>
      <w:r>
        <w:rPr>
          <w:rFonts w:hint="eastAsia" w:ascii="仿宋" w:hAnsi="仿宋" w:eastAsia="仿宋"/>
          <w:sz w:val="32"/>
          <w:szCs w:val="32"/>
        </w:rPr>
        <w:t>一、收入支出决算总表</w:t>
      </w:r>
    </w:p>
    <w:p>
      <w:pPr>
        <w:spacing w:line="540" w:lineRule="exact"/>
        <w:ind w:firstLine="1280" w:firstLineChars="400"/>
        <w:rPr>
          <w:rFonts w:hint="eastAsia" w:ascii="仿宋" w:hAnsi="仿宋" w:eastAsia="仿宋"/>
          <w:sz w:val="32"/>
          <w:szCs w:val="32"/>
        </w:rPr>
      </w:pPr>
      <w:r>
        <w:rPr>
          <w:rFonts w:hint="eastAsia" w:ascii="仿宋" w:hAnsi="仿宋" w:eastAsia="仿宋"/>
          <w:sz w:val="32"/>
          <w:szCs w:val="32"/>
        </w:rPr>
        <w:t>二、收入决算表</w:t>
      </w:r>
    </w:p>
    <w:p>
      <w:pPr>
        <w:spacing w:line="540" w:lineRule="exact"/>
        <w:ind w:firstLine="1280" w:firstLineChars="400"/>
        <w:rPr>
          <w:rFonts w:hint="eastAsia" w:ascii="仿宋" w:hAnsi="仿宋" w:eastAsia="仿宋"/>
          <w:sz w:val="32"/>
          <w:szCs w:val="32"/>
        </w:rPr>
      </w:pPr>
      <w:r>
        <w:rPr>
          <w:rFonts w:hint="eastAsia" w:ascii="仿宋" w:hAnsi="仿宋" w:eastAsia="仿宋"/>
          <w:sz w:val="32"/>
          <w:szCs w:val="32"/>
        </w:rPr>
        <w:t>三、支出决算表</w:t>
      </w:r>
    </w:p>
    <w:p>
      <w:pPr>
        <w:spacing w:line="540" w:lineRule="exact"/>
        <w:ind w:firstLine="1280" w:firstLineChars="400"/>
        <w:rPr>
          <w:rFonts w:hint="eastAsia" w:ascii="仿宋" w:hAnsi="仿宋" w:eastAsia="仿宋"/>
          <w:sz w:val="32"/>
          <w:szCs w:val="32"/>
        </w:rPr>
      </w:pPr>
      <w:r>
        <w:rPr>
          <w:rFonts w:hint="eastAsia" w:ascii="仿宋" w:hAnsi="仿宋" w:eastAsia="仿宋"/>
          <w:sz w:val="32"/>
          <w:szCs w:val="32"/>
        </w:rPr>
        <w:t>四、财政拨款收入支出决算总表</w:t>
      </w:r>
    </w:p>
    <w:p>
      <w:pPr>
        <w:spacing w:line="540" w:lineRule="exact"/>
        <w:ind w:firstLine="1280" w:firstLineChars="400"/>
        <w:rPr>
          <w:rFonts w:hint="eastAsia" w:ascii="仿宋" w:hAnsi="仿宋" w:eastAsia="仿宋"/>
          <w:sz w:val="32"/>
          <w:szCs w:val="32"/>
        </w:rPr>
      </w:pPr>
      <w:r>
        <w:rPr>
          <w:rFonts w:hint="eastAsia" w:ascii="仿宋" w:hAnsi="仿宋" w:eastAsia="仿宋"/>
          <w:sz w:val="32"/>
          <w:szCs w:val="32"/>
        </w:rPr>
        <w:t>五、一般公共预算财政拨款收入支出决算表</w:t>
      </w:r>
    </w:p>
    <w:p>
      <w:pPr>
        <w:spacing w:line="540" w:lineRule="exact"/>
        <w:ind w:firstLine="1280" w:firstLineChars="400"/>
        <w:rPr>
          <w:rFonts w:hint="eastAsia" w:ascii="仿宋" w:hAnsi="仿宋" w:eastAsia="仿宋"/>
          <w:sz w:val="32"/>
          <w:szCs w:val="32"/>
        </w:rPr>
      </w:pPr>
      <w:r>
        <w:rPr>
          <w:rFonts w:hint="eastAsia" w:ascii="仿宋" w:hAnsi="仿宋" w:eastAsia="仿宋"/>
          <w:sz w:val="32"/>
          <w:szCs w:val="32"/>
        </w:rPr>
        <w:t>六、一般公共预算财政拨款基本支出决算表</w:t>
      </w:r>
    </w:p>
    <w:p>
      <w:pPr>
        <w:spacing w:line="540" w:lineRule="exact"/>
        <w:ind w:firstLine="1280" w:firstLineChars="400"/>
        <w:rPr>
          <w:rFonts w:hint="eastAsia" w:ascii="仿宋" w:hAnsi="仿宋" w:eastAsia="仿宋"/>
          <w:sz w:val="32"/>
          <w:szCs w:val="32"/>
        </w:rPr>
      </w:pPr>
      <w:r>
        <w:rPr>
          <w:rFonts w:hint="eastAsia" w:ascii="仿宋" w:hAnsi="仿宋" w:eastAsia="仿宋"/>
          <w:sz w:val="32"/>
          <w:szCs w:val="32"/>
        </w:rPr>
        <w:t>七、政府性基金预算财政拨款收入支出决算表</w:t>
      </w:r>
    </w:p>
    <w:p>
      <w:pPr>
        <w:spacing w:line="540" w:lineRule="exact"/>
        <w:ind w:firstLine="1280" w:firstLineChars="400"/>
        <w:rPr>
          <w:rFonts w:hint="eastAsia" w:ascii="仿宋" w:hAnsi="仿宋" w:eastAsia="仿宋"/>
          <w:sz w:val="32"/>
          <w:szCs w:val="32"/>
        </w:rPr>
      </w:pPr>
      <w:r>
        <w:rPr>
          <w:rFonts w:hint="eastAsia" w:ascii="仿宋" w:hAnsi="仿宋" w:eastAsia="仿宋"/>
          <w:sz w:val="32"/>
          <w:szCs w:val="32"/>
        </w:rPr>
        <w:t>八、国有资本经营预算财政拨款收入支出决算表</w:t>
      </w:r>
    </w:p>
    <w:p>
      <w:pPr>
        <w:spacing w:line="540" w:lineRule="exact"/>
        <w:ind w:firstLine="1280" w:firstLineChars="400"/>
        <w:rPr>
          <w:rFonts w:hint="eastAsia" w:ascii="仿宋" w:hAnsi="仿宋" w:eastAsia="仿宋"/>
          <w:sz w:val="32"/>
          <w:szCs w:val="32"/>
        </w:rPr>
      </w:pPr>
      <w:r>
        <w:rPr>
          <w:rFonts w:hint="eastAsia" w:ascii="仿宋" w:hAnsi="仿宋" w:eastAsia="仿宋"/>
          <w:sz w:val="32"/>
          <w:szCs w:val="32"/>
        </w:rPr>
        <w:t>九、“三公”经费及相关信息统计表</w:t>
      </w:r>
    </w:p>
    <w:p>
      <w:pPr>
        <w:spacing w:line="540" w:lineRule="exact"/>
        <w:ind w:firstLine="1280" w:firstLineChars="400"/>
        <w:rPr>
          <w:rFonts w:ascii="仿宋" w:hAnsi="仿宋" w:eastAsia="仿宋" w:cs="仿宋"/>
          <w:bCs/>
          <w:kern w:val="2"/>
          <w:sz w:val="32"/>
          <w:szCs w:val="32"/>
        </w:rPr>
      </w:pPr>
      <w:r>
        <w:rPr>
          <w:rFonts w:hint="eastAsia" w:ascii="仿宋" w:hAnsi="仿宋" w:eastAsia="仿宋"/>
          <w:sz w:val="32"/>
          <w:szCs w:val="32"/>
        </w:rPr>
        <w:t>十、政府采购情况表</w:t>
      </w:r>
    </w:p>
    <w:p>
      <w:pPr>
        <w:spacing w:line="600" w:lineRule="exact"/>
        <w:ind w:firstLine="3855" w:firstLineChars="1200"/>
        <w:jc w:val="both"/>
        <w:rPr>
          <w:rFonts w:ascii="仿宋" w:hAnsi="仿宋" w:eastAsia="仿宋" w:cstheme="minorBidi"/>
          <w:sz w:val="32"/>
          <w:szCs w:val="32"/>
        </w:rPr>
      </w:pPr>
      <w:r>
        <w:rPr>
          <w:rFonts w:hint="eastAsia" w:ascii="黑体" w:hAnsi="黑体" w:eastAsia="黑体"/>
          <w:b/>
          <w:sz w:val="32"/>
          <w:szCs w:val="32"/>
          <w:lang w:eastAsia="zh-CN"/>
        </w:rPr>
        <w:t>第三部分</w:t>
      </w:r>
      <w:r>
        <w:rPr>
          <w:rFonts w:hint="eastAsia" w:ascii="黑体" w:hAnsi="黑体" w:eastAsia="黑体"/>
          <w:b/>
          <w:sz w:val="32"/>
          <w:szCs w:val="32"/>
          <w:lang w:val="en-US" w:eastAsia="zh-CN"/>
        </w:rPr>
        <w:t xml:space="preserve">  </w:t>
      </w:r>
      <w:r>
        <w:rPr>
          <w:rFonts w:ascii="黑体" w:hAnsi="黑体" w:eastAsia="黑体"/>
          <w:b/>
          <w:sz w:val="32"/>
          <w:szCs w:val="32"/>
        </w:rPr>
        <w:t>201</w:t>
      </w:r>
      <w:r>
        <w:rPr>
          <w:rFonts w:hint="eastAsia" w:ascii="黑体" w:hAnsi="黑体" w:eastAsia="黑体"/>
          <w:b/>
          <w:sz w:val="32"/>
          <w:szCs w:val="32"/>
          <w:lang w:val="en-US" w:eastAsia="zh-CN"/>
        </w:rPr>
        <w:t>7</w:t>
      </w:r>
      <w:r>
        <w:rPr>
          <w:rFonts w:hint="eastAsia" w:ascii="黑体" w:hAnsi="黑体" w:eastAsia="黑体"/>
          <w:b/>
          <w:sz w:val="32"/>
          <w:szCs w:val="32"/>
        </w:rPr>
        <w:t>年部门决算情况说明</w:t>
      </w:r>
    </w:p>
    <w:p>
      <w:pPr>
        <w:spacing w:line="600" w:lineRule="exact"/>
        <w:ind w:firstLine="640" w:firstLineChars="200"/>
        <w:jc w:val="left"/>
        <w:rPr>
          <w:rFonts w:ascii="楷体" w:hAnsi="楷体" w:eastAsia="楷体" w:cs="仿宋"/>
          <w:b/>
          <w:bCs/>
          <w:sz w:val="32"/>
          <w:szCs w:val="32"/>
        </w:rPr>
      </w:pPr>
      <w:r>
        <w:rPr>
          <w:rFonts w:hint="eastAsia" w:ascii="仿宋" w:hAnsi="仿宋" w:eastAsia="仿宋" w:cs="仿宋"/>
          <w:bCs/>
          <w:sz w:val="32"/>
          <w:szCs w:val="32"/>
        </w:rPr>
        <w:t xml:space="preserve">  </w:t>
      </w:r>
      <w:r>
        <w:rPr>
          <w:rFonts w:hint="eastAsia" w:ascii="仿宋" w:hAnsi="仿宋" w:eastAsia="仿宋" w:cs="仿宋"/>
          <w:bCs/>
          <w:sz w:val="32"/>
          <w:szCs w:val="32"/>
          <w:lang w:val="en-US" w:eastAsia="zh-CN"/>
        </w:rPr>
        <w:t xml:space="preserve">  </w:t>
      </w:r>
      <w:r>
        <w:rPr>
          <w:rFonts w:hint="eastAsia" w:ascii="楷体" w:hAnsi="楷体" w:eastAsia="楷体"/>
          <w:b/>
          <w:sz w:val="32"/>
          <w:szCs w:val="32"/>
        </w:rPr>
        <w:t>一</w:t>
      </w:r>
      <w:r>
        <w:rPr>
          <w:rFonts w:hint="eastAsia" w:ascii="楷体" w:hAnsi="楷体" w:eastAsia="楷体"/>
          <w:b/>
          <w:sz w:val="32"/>
          <w:szCs w:val="32"/>
          <w:lang w:eastAsia="zh-CN"/>
        </w:rPr>
        <w:t>、</w:t>
      </w:r>
      <w:r>
        <w:rPr>
          <w:rFonts w:hint="eastAsia" w:ascii="楷体" w:hAnsi="楷体" w:eastAsia="楷体"/>
          <w:b/>
          <w:sz w:val="32"/>
          <w:szCs w:val="32"/>
        </w:rPr>
        <w:t>收入支出决算总体情况说明</w:t>
      </w:r>
      <w:r>
        <w:rPr>
          <w:rFonts w:hint="eastAsia" w:ascii="楷体" w:hAnsi="楷体" w:eastAsia="楷体" w:cs="仿宋"/>
          <w:b/>
          <w:bCs/>
          <w:sz w:val="32"/>
          <w:szCs w:val="32"/>
        </w:rPr>
        <w:t xml:space="preserve"> </w:t>
      </w:r>
    </w:p>
    <w:p>
      <w:pPr>
        <w:spacing w:line="600" w:lineRule="exact"/>
        <w:ind w:left="638" w:leftChars="304"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本部门</w:t>
      </w:r>
      <w:r>
        <w:rPr>
          <w:rFonts w:ascii="仿宋" w:hAnsi="仿宋" w:eastAsia="仿宋" w:cs="仿宋"/>
          <w:snapToGrid w:val="0"/>
          <w:kern w:val="0"/>
          <w:sz w:val="32"/>
          <w:szCs w:val="32"/>
        </w:rPr>
        <w:t>201</w:t>
      </w:r>
      <w:r>
        <w:rPr>
          <w:rFonts w:hint="eastAsia" w:ascii="仿宋" w:hAnsi="仿宋" w:eastAsia="仿宋" w:cs="仿宋"/>
          <w:snapToGrid w:val="0"/>
          <w:kern w:val="0"/>
          <w:sz w:val="32"/>
          <w:szCs w:val="32"/>
          <w:lang w:val="en-US" w:eastAsia="zh-CN"/>
        </w:rPr>
        <w:t>7</w:t>
      </w:r>
      <w:r>
        <w:rPr>
          <w:rFonts w:hint="eastAsia" w:ascii="仿宋" w:hAnsi="仿宋" w:eastAsia="仿宋" w:cs="仿宋"/>
          <w:snapToGrid w:val="0"/>
          <w:kern w:val="0"/>
          <w:sz w:val="32"/>
          <w:szCs w:val="32"/>
        </w:rPr>
        <w:t>年度年初结转和结余</w:t>
      </w:r>
      <w:r>
        <w:rPr>
          <w:rFonts w:hint="eastAsia" w:ascii="仿宋" w:hAnsi="仿宋" w:eastAsia="仿宋" w:cs="仿宋"/>
          <w:snapToGrid w:val="0"/>
          <w:kern w:val="0"/>
          <w:sz w:val="32"/>
          <w:szCs w:val="32"/>
          <w:lang w:val="en-US" w:eastAsia="zh-CN"/>
        </w:rPr>
        <w:t>71.56</w:t>
      </w:r>
      <w:r>
        <w:rPr>
          <w:rFonts w:hint="eastAsia" w:ascii="仿宋" w:hAnsi="仿宋" w:eastAsia="仿宋" w:cs="仿宋"/>
          <w:snapToGrid w:val="0"/>
          <w:kern w:val="0"/>
          <w:sz w:val="32"/>
          <w:szCs w:val="32"/>
        </w:rPr>
        <w:t>万元，本年</w:t>
      </w:r>
      <w:r>
        <w:rPr>
          <w:rFonts w:hint="eastAsia" w:ascii="仿宋" w:hAnsi="仿宋" w:eastAsia="仿宋" w:cs="仿宋"/>
          <w:sz w:val="32"/>
          <w:szCs w:val="32"/>
          <w:lang w:eastAsia="zh-CN"/>
        </w:rPr>
        <w:t>财政拨款</w:t>
      </w:r>
      <w:r>
        <w:rPr>
          <w:rFonts w:hint="eastAsia" w:ascii="仿宋" w:hAnsi="仿宋" w:eastAsia="仿宋" w:cs="仿宋"/>
          <w:snapToGrid w:val="0"/>
          <w:kern w:val="0"/>
          <w:sz w:val="32"/>
          <w:szCs w:val="32"/>
        </w:rPr>
        <w:t>收入</w:t>
      </w:r>
      <w:r>
        <w:rPr>
          <w:rFonts w:hint="eastAsia" w:ascii="仿宋" w:hAnsi="仿宋" w:eastAsia="仿宋" w:cs="仿宋"/>
          <w:snapToGrid w:val="0"/>
          <w:kern w:val="0"/>
          <w:sz w:val="32"/>
          <w:szCs w:val="32"/>
          <w:lang w:val="en-US" w:eastAsia="zh-CN"/>
        </w:rPr>
        <w:t>106088.37</w:t>
      </w:r>
      <w:r>
        <w:rPr>
          <w:rFonts w:hint="eastAsia" w:ascii="仿宋" w:hAnsi="仿宋" w:eastAsia="仿宋" w:cs="仿宋"/>
          <w:snapToGrid w:val="0"/>
          <w:kern w:val="0"/>
          <w:sz w:val="32"/>
          <w:szCs w:val="32"/>
        </w:rPr>
        <w:t>万元</w:t>
      </w:r>
      <w:r>
        <w:rPr>
          <w:rFonts w:ascii="仿宋" w:hAnsi="仿宋" w:eastAsia="仿宋" w:cs="仿宋"/>
          <w:snapToGrid w:val="0"/>
          <w:kern w:val="0"/>
          <w:sz w:val="32"/>
          <w:szCs w:val="32"/>
        </w:rPr>
        <w:t>,</w:t>
      </w:r>
      <w:r>
        <w:rPr>
          <w:rFonts w:hint="eastAsia" w:ascii="仿宋" w:hAnsi="仿宋" w:eastAsia="仿宋" w:cs="仿宋"/>
          <w:sz w:val="32"/>
          <w:szCs w:val="32"/>
          <w:lang w:eastAsia="zh-CN"/>
        </w:rPr>
        <w:t>其中一般公共预算财政拨款收入</w:t>
      </w:r>
      <w:r>
        <w:rPr>
          <w:rFonts w:hint="eastAsia" w:ascii="仿宋" w:hAnsi="仿宋" w:eastAsia="仿宋" w:cs="仿宋"/>
          <w:bCs/>
          <w:sz w:val="32"/>
          <w:szCs w:val="32"/>
          <w:lang w:val="en-US" w:eastAsia="zh-CN"/>
        </w:rPr>
        <w:t>39567.96</w:t>
      </w:r>
      <w:r>
        <w:rPr>
          <w:rFonts w:hint="eastAsia" w:ascii="仿宋" w:hAnsi="仿宋" w:eastAsia="仿宋" w:cs="仿宋"/>
          <w:sz w:val="32"/>
          <w:szCs w:val="32"/>
          <w:lang w:eastAsia="zh-CN"/>
        </w:rPr>
        <w:t>万元，政府性基金预算财政拨款收入</w:t>
      </w:r>
      <w:r>
        <w:rPr>
          <w:rFonts w:hint="eastAsia" w:ascii="仿宋" w:hAnsi="仿宋" w:eastAsia="仿宋" w:cs="仿宋"/>
          <w:bCs/>
          <w:sz w:val="32"/>
          <w:szCs w:val="32"/>
          <w:lang w:val="en-US" w:eastAsia="zh-CN"/>
        </w:rPr>
        <w:t>66520.41</w:t>
      </w:r>
      <w:r>
        <w:rPr>
          <w:rFonts w:hint="eastAsia" w:ascii="仿宋" w:hAnsi="仿宋" w:eastAsia="仿宋" w:cs="仿宋"/>
          <w:sz w:val="32"/>
          <w:szCs w:val="32"/>
          <w:lang w:eastAsia="zh-CN"/>
        </w:rPr>
        <w:t>万元。</w:t>
      </w:r>
      <w:r>
        <w:rPr>
          <w:rFonts w:hint="eastAsia" w:ascii="仿宋" w:hAnsi="仿宋" w:eastAsia="仿宋" w:cs="仿宋"/>
          <w:snapToGrid w:val="0"/>
          <w:kern w:val="0"/>
          <w:sz w:val="32"/>
          <w:szCs w:val="32"/>
        </w:rPr>
        <w:t>本年</w:t>
      </w:r>
      <w:r>
        <w:rPr>
          <w:rFonts w:hint="eastAsia" w:ascii="仿宋" w:hAnsi="仿宋" w:eastAsia="仿宋" w:cs="仿宋"/>
          <w:sz w:val="32"/>
          <w:szCs w:val="32"/>
          <w:lang w:eastAsia="zh-CN"/>
        </w:rPr>
        <w:t>财政拨款</w:t>
      </w:r>
      <w:r>
        <w:rPr>
          <w:rFonts w:hint="eastAsia" w:ascii="仿宋" w:hAnsi="仿宋" w:eastAsia="仿宋" w:cs="仿宋"/>
          <w:snapToGrid w:val="0"/>
          <w:kern w:val="0"/>
          <w:sz w:val="32"/>
          <w:szCs w:val="32"/>
        </w:rPr>
        <w:t>支出</w:t>
      </w:r>
      <w:r>
        <w:rPr>
          <w:rFonts w:hint="eastAsia" w:ascii="仿宋" w:hAnsi="仿宋" w:eastAsia="仿宋" w:cs="仿宋"/>
          <w:snapToGrid w:val="0"/>
          <w:kern w:val="0"/>
          <w:sz w:val="32"/>
          <w:szCs w:val="32"/>
          <w:lang w:val="en-US" w:eastAsia="zh-CN"/>
        </w:rPr>
        <w:t>106159.94</w:t>
      </w:r>
      <w:r>
        <w:rPr>
          <w:rFonts w:hint="eastAsia" w:ascii="仿宋" w:hAnsi="仿宋" w:eastAsia="仿宋" w:cs="仿宋"/>
          <w:snapToGrid w:val="0"/>
          <w:kern w:val="0"/>
          <w:sz w:val="32"/>
          <w:szCs w:val="32"/>
        </w:rPr>
        <w:t>万元，</w:t>
      </w:r>
      <w:r>
        <w:rPr>
          <w:rFonts w:hint="eastAsia" w:ascii="仿宋" w:hAnsi="仿宋" w:eastAsia="仿宋" w:cs="仿宋"/>
          <w:sz w:val="32"/>
          <w:szCs w:val="32"/>
          <w:lang w:eastAsia="zh-CN"/>
        </w:rPr>
        <w:t>其中一般公共预算财政拨款支出</w:t>
      </w:r>
      <w:r>
        <w:rPr>
          <w:rFonts w:hint="eastAsia" w:ascii="仿宋" w:hAnsi="仿宋" w:eastAsia="仿宋" w:cs="仿宋"/>
          <w:bCs/>
          <w:sz w:val="32"/>
          <w:szCs w:val="32"/>
          <w:lang w:eastAsia="zh-CN"/>
        </w:rPr>
        <w:t>39584.67</w:t>
      </w:r>
      <w:r>
        <w:rPr>
          <w:rFonts w:hint="eastAsia" w:ascii="仿宋" w:hAnsi="仿宋" w:eastAsia="仿宋" w:cs="仿宋"/>
          <w:sz w:val="32"/>
          <w:szCs w:val="32"/>
          <w:lang w:eastAsia="zh-CN"/>
        </w:rPr>
        <w:t>万元，政府性基金预算财政拨款支出</w:t>
      </w:r>
      <w:r>
        <w:rPr>
          <w:rFonts w:hint="eastAsia" w:ascii="仿宋" w:hAnsi="仿宋" w:eastAsia="仿宋" w:cs="仿宋"/>
          <w:bCs/>
          <w:sz w:val="32"/>
          <w:szCs w:val="32"/>
          <w:lang w:val="en-US" w:eastAsia="zh-CN"/>
        </w:rPr>
        <w:t>66520.41</w:t>
      </w:r>
      <w:r>
        <w:rPr>
          <w:rFonts w:hint="eastAsia" w:ascii="仿宋" w:hAnsi="仿宋" w:eastAsia="仿宋" w:cs="仿宋"/>
          <w:sz w:val="32"/>
          <w:szCs w:val="32"/>
          <w:lang w:eastAsia="zh-CN"/>
        </w:rPr>
        <w:t>万元，</w:t>
      </w:r>
      <w:r>
        <w:rPr>
          <w:rFonts w:hint="eastAsia" w:ascii="仿宋" w:hAnsi="仿宋" w:eastAsia="仿宋" w:cs="仿宋"/>
          <w:snapToGrid w:val="0"/>
          <w:kern w:val="0"/>
          <w:sz w:val="32"/>
          <w:szCs w:val="32"/>
        </w:rPr>
        <w:t>年末结转和结余</w:t>
      </w:r>
      <w:r>
        <w:rPr>
          <w:rFonts w:hint="eastAsia" w:ascii="仿宋" w:hAnsi="仿宋" w:eastAsia="仿宋" w:cs="仿宋"/>
          <w:snapToGrid w:val="0"/>
          <w:kern w:val="0"/>
          <w:sz w:val="32"/>
          <w:szCs w:val="32"/>
          <w:lang w:val="en-US" w:eastAsia="zh-CN"/>
        </w:rPr>
        <w:t>54.86</w:t>
      </w:r>
      <w:r>
        <w:rPr>
          <w:rFonts w:hint="eastAsia" w:ascii="仿宋" w:hAnsi="仿宋" w:eastAsia="仿宋" w:cs="仿宋"/>
          <w:snapToGrid w:val="0"/>
          <w:kern w:val="0"/>
          <w:sz w:val="32"/>
          <w:szCs w:val="32"/>
        </w:rPr>
        <w:t>万元。</w:t>
      </w:r>
      <w:r>
        <w:rPr>
          <w:rFonts w:hint="eastAsia" w:ascii="仿宋" w:hAnsi="仿宋" w:eastAsia="仿宋" w:cs="仿宋"/>
          <w:sz w:val="32"/>
          <w:szCs w:val="32"/>
          <w:lang w:eastAsia="zh-CN"/>
        </w:rPr>
        <w:t>与201</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年度决算数相比，本年收入</w:t>
      </w:r>
      <w:r>
        <w:rPr>
          <w:rFonts w:hint="eastAsia" w:ascii="仿宋" w:hAnsi="仿宋" w:eastAsia="仿宋" w:cs="仿宋"/>
          <w:sz w:val="32"/>
          <w:szCs w:val="32"/>
        </w:rPr>
        <w:t>增加</w:t>
      </w:r>
      <w:r>
        <w:rPr>
          <w:rFonts w:hint="eastAsia" w:ascii="仿宋" w:hAnsi="仿宋" w:eastAsia="仿宋" w:cs="仿宋"/>
          <w:sz w:val="32"/>
          <w:szCs w:val="32"/>
          <w:lang w:val="en-US" w:eastAsia="zh-CN"/>
        </w:rPr>
        <w:t>87523.09</w:t>
      </w:r>
      <w:r>
        <w:rPr>
          <w:rFonts w:hint="eastAsia" w:ascii="仿宋" w:hAnsi="仿宋" w:eastAsia="仿宋" w:cs="仿宋"/>
          <w:sz w:val="32"/>
          <w:szCs w:val="32"/>
        </w:rPr>
        <w:t>万元</w:t>
      </w:r>
      <w:r>
        <w:rPr>
          <w:rFonts w:hint="eastAsia" w:ascii="仿宋" w:hAnsi="仿宋" w:eastAsia="仿宋" w:cs="仿宋"/>
          <w:sz w:val="32"/>
          <w:szCs w:val="32"/>
          <w:lang w:val="en-US" w:eastAsia="zh-CN"/>
        </w:rPr>
        <w:t>,</w:t>
      </w:r>
      <w:r>
        <w:rPr>
          <w:rFonts w:hint="eastAsia" w:ascii="仿宋" w:hAnsi="仿宋" w:eastAsia="仿宋" w:cs="仿宋"/>
          <w:bCs/>
          <w:color w:val="auto"/>
          <w:sz w:val="32"/>
          <w:szCs w:val="32"/>
          <w:lang w:eastAsia="zh-CN"/>
        </w:rPr>
        <w:t>增长</w:t>
      </w:r>
      <w:r>
        <w:rPr>
          <w:rFonts w:hint="eastAsia" w:ascii="仿宋" w:hAnsi="仿宋" w:eastAsia="仿宋" w:cs="仿宋"/>
          <w:bCs/>
          <w:color w:val="auto"/>
          <w:sz w:val="32"/>
          <w:szCs w:val="32"/>
          <w:lang w:val="en-US" w:eastAsia="zh-CN"/>
        </w:rPr>
        <w:t>471.43%，主要原因是政府性基金预算加入部门预算。本年支出增加87568.39万元，</w:t>
      </w:r>
      <w:r>
        <w:rPr>
          <w:rFonts w:hint="eastAsia" w:ascii="仿宋" w:hAnsi="仿宋" w:eastAsia="仿宋" w:cs="仿宋"/>
          <w:bCs/>
          <w:color w:val="auto"/>
          <w:sz w:val="32"/>
          <w:szCs w:val="32"/>
          <w:lang w:eastAsia="zh-CN"/>
        </w:rPr>
        <w:t>增长</w:t>
      </w:r>
      <w:r>
        <w:rPr>
          <w:rFonts w:hint="eastAsia" w:ascii="仿宋" w:hAnsi="仿宋" w:eastAsia="仿宋" w:cs="仿宋"/>
          <w:bCs/>
          <w:color w:val="auto"/>
          <w:sz w:val="32"/>
          <w:szCs w:val="32"/>
          <w:lang w:val="en-US" w:eastAsia="zh-CN"/>
        </w:rPr>
        <w:t>472.40%，主要原因是政府性基金支出增加</w:t>
      </w:r>
      <w:r>
        <w:rPr>
          <w:rFonts w:hint="eastAsia" w:ascii="仿宋" w:hAnsi="仿宋" w:eastAsia="仿宋" w:cs="仿宋"/>
          <w:bCs/>
          <w:color w:val="auto"/>
          <w:sz w:val="32"/>
          <w:szCs w:val="32"/>
        </w:rPr>
        <w:t>。</w:t>
      </w:r>
    </w:p>
    <w:p>
      <w:pPr>
        <w:spacing w:line="600" w:lineRule="exact"/>
        <w:ind w:firstLine="640" w:firstLineChars="200"/>
        <w:jc w:val="left"/>
        <w:rPr>
          <w:rFonts w:ascii="楷体" w:hAnsi="楷体" w:eastAsia="楷体"/>
          <w:b/>
          <w:sz w:val="32"/>
          <w:szCs w:val="32"/>
        </w:rPr>
      </w:pPr>
      <w:r>
        <w:rPr>
          <w:rFonts w:hint="eastAsia" w:ascii="仿宋" w:hAnsi="仿宋" w:eastAsia="仿宋" w:cs="仿宋"/>
          <w:bCs/>
          <w:sz w:val="32"/>
          <w:szCs w:val="32"/>
        </w:rPr>
        <w:t xml:space="preserve">  </w:t>
      </w:r>
      <w:r>
        <w:rPr>
          <w:rFonts w:hint="eastAsia" w:ascii="仿宋" w:hAnsi="仿宋" w:eastAsia="仿宋" w:cs="仿宋"/>
          <w:bCs/>
          <w:sz w:val="32"/>
          <w:szCs w:val="32"/>
          <w:lang w:val="en-US" w:eastAsia="zh-CN"/>
        </w:rPr>
        <w:t xml:space="preserve">  </w:t>
      </w:r>
      <w:r>
        <w:rPr>
          <w:rFonts w:hint="eastAsia" w:ascii="楷体" w:hAnsi="楷体" w:eastAsia="楷体"/>
          <w:b/>
          <w:sz w:val="32"/>
          <w:szCs w:val="32"/>
          <w:lang w:eastAsia="zh-CN"/>
        </w:rPr>
        <w:t>二、</w:t>
      </w:r>
      <w:r>
        <w:rPr>
          <w:rFonts w:hint="eastAsia" w:ascii="楷体" w:hAnsi="楷体" w:eastAsia="楷体"/>
          <w:b/>
          <w:sz w:val="32"/>
          <w:szCs w:val="32"/>
        </w:rPr>
        <w:t>收入决算情况说明</w:t>
      </w:r>
    </w:p>
    <w:p>
      <w:pPr>
        <w:spacing w:line="600" w:lineRule="exact"/>
        <w:ind w:left="638" w:leftChars="304" w:firstLine="0" w:firstLineChars="0"/>
        <w:jc w:val="left"/>
        <w:rPr>
          <w:rFonts w:hint="eastAsia" w:ascii="仿宋" w:hAnsi="仿宋" w:eastAsia="仿宋" w:cs="仿宋"/>
          <w:bCs/>
          <w:sz w:val="32"/>
          <w:szCs w:val="32"/>
          <w:lang w:val="en-US" w:eastAsia="zh-CN"/>
        </w:rPr>
      </w:pPr>
      <w:r>
        <w:rPr>
          <w:rFonts w:hint="eastAsia" w:ascii="仿宋" w:hAnsi="仿宋" w:eastAsia="仿宋" w:cs="仿宋"/>
          <w:bCs/>
          <w:sz w:val="32"/>
          <w:szCs w:val="32"/>
        </w:rPr>
        <w:t xml:space="preserve">   </w:t>
      </w:r>
      <w:r>
        <w:rPr>
          <w:rFonts w:hint="eastAsia" w:ascii="仿宋" w:hAnsi="仿宋" w:eastAsia="仿宋" w:cs="仿宋"/>
          <w:bCs/>
          <w:sz w:val="32"/>
          <w:szCs w:val="32"/>
          <w:lang w:val="en-US" w:eastAsia="zh-CN"/>
        </w:rPr>
        <w:t xml:space="preserve"> 本部门</w:t>
      </w:r>
      <w:r>
        <w:rPr>
          <w:rFonts w:hint="eastAsia" w:ascii="仿宋" w:hAnsi="仿宋" w:eastAsia="仿宋" w:cs="仿宋"/>
          <w:bCs/>
          <w:sz w:val="32"/>
          <w:szCs w:val="32"/>
        </w:rPr>
        <w:t>201</w:t>
      </w:r>
      <w:r>
        <w:rPr>
          <w:rFonts w:hint="eastAsia" w:ascii="仿宋" w:hAnsi="仿宋" w:eastAsia="仿宋" w:cs="仿宋"/>
          <w:bCs/>
          <w:sz w:val="32"/>
          <w:szCs w:val="32"/>
          <w:lang w:val="en-US" w:eastAsia="zh-CN"/>
        </w:rPr>
        <w:t>7</w:t>
      </w:r>
      <w:r>
        <w:rPr>
          <w:rFonts w:hint="eastAsia" w:ascii="仿宋" w:hAnsi="仿宋" w:eastAsia="仿宋" w:cs="仿宋"/>
          <w:bCs/>
          <w:sz w:val="32"/>
          <w:szCs w:val="32"/>
        </w:rPr>
        <w:t>年</w:t>
      </w:r>
      <w:r>
        <w:rPr>
          <w:rFonts w:hint="eastAsia" w:ascii="仿宋" w:hAnsi="仿宋" w:eastAsia="仿宋" w:cs="仿宋"/>
          <w:bCs/>
          <w:sz w:val="32"/>
          <w:szCs w:val="32"/>
          <w:lang w:eastAsia="zh-CN"/>
        </w:rPr>
        <w:t>度本年</w:t>
      </w:r>
      <w:r>
        <w:rPr>
          <w:rFonts w:hint="eastAsia" w:ascii="仿宋" w:hAnsi="仿宋" w:eastAsia="仿宋" w:cs="仿宋"/>
          <w:bCs/>
          <w:sz w:val="32"/>
          <w:szCs w:val="32"/>
        </w:rPr>
        <w:t>收入</w:t>
      </w:r>
      <w:r>
        <w:rPr>
          <w:rFonts w:hint="eastAsia" w:ascii="仿宋" w:hAnsi="仿宋" w:eastAsia="仿宋" w:cs="仿宋"/>
          <w:bCs/>
          <w:sz w:val="32"/>
          <w:szCs w:val="32"/>
          <w:lang w:eastAsia="zh-CN"/>
        </w:rPr>
        <w:t>合计</w:t>
      </w:r>
      <w:r>
        <w:rPr>
          <w:rFonts w:hint="eastAsia" w:ascii="仿宋" w:hAnsi="仿宋" w:eastAsia="仿宋" w:cs="仿宋"/>
          <w:bCs/>
          <w:sz w:val="32"/>
          <w:szCs w:val="32"/>
          <w:lang w:val="en-US" w:eastAsia="zh-CN"/>
        </w:rPr>
        <w:t>106088.37</w:t>
      </w:r>
      <w:r>
        <w:rPr>
          <w:rFonts w:hint="eastAsia" w:ascii="仿宋" w:hAnsi="仿宋" w:eastAsia="仿宋" w:cs="仿宋"/>
          <w:bCs/>
          <w:sz w:val="32"/>
          <w:szCs w:val="32"/>
        </w:rPr>
        <w:t>万元，</w:t>
      </w:r>
      <w:r>
        <w:rPr>
          <w:rFonts w:hint="eastAsia" w:ascii="仿宋" w:hAnsi="仿宋" w:eastAsia="仿宋" w:cs="仿宋"/>
          <w:bCs/>
          <w:sz w:val="32"/>
          <w:szCs w:val="32"/>
          <w:lang w:eastAsia="zh-CN"/>
        </w:rPr>
        <w:t>均为</w:t>
      </w:r>
      <w:r>
        <w:rPr>
          <w:rFonts w:hint="eastAsia" w:ascii="仿宋" w:hAnsi="仿宋" w:eastAsia="仿宋" w:cs="仿宋"/>
          <w:bCs/>
          <w:sz w:val="32"/>
          <w:szCs w:val="32"/>
        </w:rPr>
        <w:t>财政拨款收入</w:t>
      </w:r>
      <w:r>
        <w:rPr>
          <w:rFonts w:hint="eastAsia" w:ascii="仿宋" w:hAnsi="仿宋" w:eastAsia="仿宋" w:cs="仿宋"/>
          <w:bCs/>
          <w:sz w:val="32"/>
          <w:szCs w:val="32"/>
          <w:lang w:eastAsia="zh-CN"/>
        </w:rPr>
        <w:t>，占</w:t>
      </w:r>
      <w:r>
        <w:rPr>
          <w:rFonts w:hint="eastAsia" w:ascii="仿宋" w:hAnsi="仿宋" w:eastAsia="仿宋" w:cs="仿宋"/>
          <w:bCs/>
          <w:sz w:val="32"/>
          <w:szCs w:val="32"/>
          <w:lang w:val="en-US" w:eastAsia="zh-CN"/>
        </w:rPr>
        <w:t>100%。</w:t>
      </w:r>
    </w:p>
    <w:p>
      <w:pPr>
        <w:spacing w:line="600" w:lineRule="exact"/>
        <w:ind w:left="420" w:leftChars="200" w:firstLine="198"/>
        <w:jc w:val="left"/>
        <w:rPr>
          <w:rFonts w:ascii="仿宋" w:hAnsi="仿宋" w:eastAsia="仿宋" w:cs="仿宋"/>
          <w:bCs/>
          <w:sz w:val="32"/>
          <w:szCs w:val="32"/>
        </w:rPr>
      </w:pPr>
      <w:r>
        <w:rPr>
          <w:rFonts w:hint="eastAsia" w:ascii="仿宋" w:hAnsi="仿宋" w:eastAsia="仿宋" w:cs="仿宋"/>
          <w:bCs/>
          <w:sz w:val="32"/>
          <w:szCs w:val="32"/>
        </w:rPr>
        <w:t xml:space="preserve">  </w:t>
      </w:r>
    </w:p>
    <w:p>
      <w:pPr>
        <w:spacing w:line="600" w:lineRule="exact"/>
        <w:ind w:firstLine="200"/>
        <w:rPr>
          <w:rFonts w:ascii="楷体" w:hAnsi="楷体" w:eastAsia="楷体"/>
          <w:b/>
          <w:sz w:val="32"/>
          <w:szCs w:val="32"/>
        </w:rPr>
      </w:pPr>
      <w:r>
        <w:rPr>
          <w:rFonts w:hint="eastAsia" w:ascii="仿宋" w:hAnsi="仿宋" w:eastAsia="仿宋" w:cs="仿宋"/>
          <w:bCs/>
          <w:sz w:val="32"/>
          <w:szCs w:val="32"/>
        </w:rPr>
        <w:t xml:space="preserve"> </w:t>
      </w:r>
      <w:r>
        <w:rPr>
          <w:rFonts w:hint="eastAsia" w:ascii="仿宋" w:hAnsi="仿宋" w:eastAsia="仿宋" w:cs="仿宋"/>
          <w:b/>
          <w:bCs/>
          <w:sz w:val="32"/>
          <w:szCs w:val="32"/>
        </w:rPr>
        <w:t xml:space="preserve">    </w:t>
      </w:r>
      <w:r>
        <w:rPr>
          <w:rFonts w:hint="eastAsia" w:ascii="仿宋" w:hAnsi="仿宋" w:eastAsia="仿宋" w:cs="仿宋"/>
          <w:b/>
          <w:bCs/>
          <w:sz w:val="32"/>
          <w:szCs w:val="32"/>
          <w:lang w:val="en-US" w:eastAsia="zh-CN"/>
        </w:rPr>
        <w:t xml:space="preserve">  </w:t>
      </w:r>
      <w:r>
        <w:rPr>
          <w:rFonts w:hint="eastAsia" w:ascii="楷体" w:hAnsi="楷体" w:eastAsia="楷体"/>
          <w:b/>
          <w:sz w:val="32"/>
          <w:szCs w:val="32"/>
          <w:lang w:eastAsia="zh-CN"/>
        </w:rPr>
        <w:t>三、</w:t>
      </w:r>
      <w:r>
        <w:rPr>
          <w:rFonts w:hint="eastAsia" w:ascii="楷体" w:hAnsi="楷体" w:eastAsia="楷体"/>
          <w:b/>
          <w:sz w:val="32"/>
          <w:szCs w:val="32"/>
        </w:rPr>
        <w:t>支出决算情况说明</w:t>
      </w:r>
    </w:p>
    <w:p>
      <w:pPr>
        <w:spacing w:line="600" w:lineRule="exact"/>
        <w:ind w:left="755" w:leftChars="352" w:hanging="16" w:hangingChars="5"/>
        <w:jc w:val="left"/>
        <w:rPr>
          <w:rFonts w:ascii="仿宋" w:hAnsi="仿宋" w:eastAsia="仿宋" w:cs="仿宋"/>
          <w:bCs/>
          <w:sz w:val="32"/>
          <w:szCs w:val="32"/>
          <w:lang w:val="en-US"/>
        </w:rPr>
      </w:pPr>
      <w:r>
        <w:rPr>
          <w:rFonts w:hint="eastAsia" w:ascii="仿宋" w:hAnsi="仿宋" w:eastAsia="仿宋" w:cs="仿宋"/>
          <w:bCs/>
          <w:sz w:val="32"/>
          <w:szCs w:val="32"/>
        </w:rPr>
        <w:t xml:space="preserve">  </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本部门201</w:t>
      </w:r>
      <w:r>
        <w:rPr>
          <w:rFonts w:hint="eastAsia" w:ascii="仿宋" w:hAnsi="仿宋" w:eastAsia="仿宋" w:cs="仿宋"/>
          <w:bCs/>
          <w:sz w:val="32"/>
          <w:szCs w:val="32"/>
          <w:lang w:val="en-US" w:eastAsia="zh-CN"/>
        </w:rPr>
        <w:t>7</w:t>
      </w:r>
      <w:r>
        <w:rPr>
          <w:rFonts w:hint="eastAsia" w:ascii="仿宋" w:hAnsi="仿宋" w:eastAsia="仿宋" w:cs="仿宋"/>
          <w:bCs/>
          <w:sz w:val="32"/>
          <w:szCs w:val="32"/>
        </w:rPr>
        <w:t>年</w:t>
      </w:r>
      <w:r>
        <w:rPr>
          <w:rFonts w:hint="eastAsia" w:ascii="仿宋" w:hAnsi="仿宋" w:eastAsia="仿宋" w:cs="仿宋"/>
          <w:bCs/>
          <w:sz w:val="32"/>
          <w:szCs w:val="32"/>
          <w:lang w:eastAsia="zh-CN"/>
        </w:rPr>
        <w:t>度本年</w:t>
      </w:r>
      <w:r>
        <w:rPr>
          <w:rFonts w:hint="eastAsia" w:ascii="仿宋" w:hAnsi="仿宋" w:eastAsia="仿宋" w:cs="仿宋"/>
          <w:bCs/>
          <w:sz w:val="32"/>
          <w:szCs w:val="32"/>
        </w:rPr>
        <w:t>支出</w:t>
      </w:r>
      <w:r>
        <w:rPr>
          <w:rFonts w:hint="eastAsia" w:ascii="仿宋" w:hAnsi="仿宋" w:eastAsia="仿宋" w:cs="仿宋"/>
          <w:bCs/>
          <w:sz w:val="32"/>
          <w:szCs w:val="32"/>
          <w:lang w:eastAsia="zh-CN"/>
        </w:rPr>
        <w:t>合计</w:t>
      </w:r>
      <w:r>
        <w:rPr>
          <w:rFonts w:hint="eastAsia" w:ascii="仿宋" w:hAnsi="仿宋" w:eastAsia="仿宋" w:cs="仿宋"/>
          <w:bCs/>
          <w:sz w:val="32"/>
          <w:szCs w:val="32"/>
          <w:lang w:val="en-US" w:eastAsia="zh-CN"/>
        </w:rPr>
        <w:t>106105.08</w:t>
      </w:r>
      <w:r>
        <w:rPr>
          <w:rFonts w:hint="eastAsia" w:ascii="仿宋" w:hAnsi="仿宋" w:eastAsia="仿宋" w:cs="仿宋"/>
          <w:bCs/>
          <w:sz w:val="32"/>
          <w:szCs w:val="32"/>
        </w:rPr>
        <w:t>万元，其中：基本支出</w:t>
      </w:r>
      <w:r>
        <w:rPr>
          <w:rFonts w:hint="eastAsia" w:ascii="仿宋" w:hAnsi="仿宋" w:eastAsia="仿宋" w:cs="仿宋"/>
          <w:bCs/>
          <w:sz w:val="32"/>
          <w:szCs w:val="32"/>
          <w:lang w:val="en-US" w:eastAsia="zh-CN"/>
        </w:rPr>
        <w:t>1674.23</w:t>
      </w:r>
      <w:r>
        <w:rPr>
          <w:rFonts w:hint="eastAsia" w:ascii="仿宋" w:hAnsi="仿宋" w:eastAsia="仿宋" w:cs="仿宋"/>
          <w:bCs/>
          <w:sz w:val="32"/>
          <w:szCs w:val="32"/>
        </w:rPr>
        <w:t>万元</w:t>
      </w:r>
      <w:r>
        <w:rPr>
          <w:rFonts w:hint="eastAsia" w:ascii="仿宋" w:hAnsi="仿宋" w:eastAsia="仿宋" w:cs="仿宋"/>
          <w:bCs/>
          <w:sz w:val="32"/>
          <w:szCs w:val="32"/>
          <w:lang w:eastAsia="zh-CN"/>
        </w:rPr>
        <w:t>占</w:t>
      </w:r>
      <w:r>
        <w:rPr>
          <w:rFonts w:hint="eastAsia" w:ascii="仿宋" w:hAnsi="仿宋" w:eastAsia="仿宋" w:cs="仿宋"/>
          <w:bCs/>
          <w:sz w:val="32"/>
          <w:szCs w:val="32"/>
          <w:lang w:val="en-US" w:eastAsia="zh-CN"/>
        </w:rPr>
        <w:t>1.58%</w:t>
      </w:r>
      <w:r>
        <w:rPr>
          <w:rFonts w:hint="eastAsia" w:ascii="仿宋" w:hAnsi="仿宋" w:eastAsia="仿宋" w:cs="仿宋"/>
          <w:bCs/>
          <w:sz w:val="32"/>
          <w:szCs w:val="32"/>
        </w:rPr>
        <w:t>；项目支出</w:t>
      </w:r>
      <w:r>
        <w:rPr>
          <w:rFonts w:hint="eastAsia" w:ascii="仿宋" w:hAnsi="仿宋" w:eastAsia="仿宋" w:cs="仿宋"/>
          <w:bCs/>
          <w:sz w:val="32"/>
          <w:szCs w:val="32"/>
          <w:lang w:val="en-US" w:eastAsia="zh-CN"/>
        </w:rPr>
        <w:t>104430.85</w:t>
      </w:r>
      <w:r>
        <w:rPr>
          <w:rFonts w:hint="eastAsia" w:ascii="仿宋" w:hAnsi="仿宋" w:eastAsia="仿宋" w:cs="仿宋"/>
          <w:bCs/>
          <w:sz w:val="32"/>
          <w:szCs w:val="32"/>
        </w:rPr>
        <w:t>万元</w:t>
      </w:r>
      <w:r>
        <w:rPr>
          <w:rFonts w:hint="eastAsia" w:ascii="仿宋" w:hAnsi="仿宋" w:eastAsia="仿宋" w:cs="仿宋"/>
          <w:bCs/>
          <w:sz w:val="32"/>
          <w:szCs w:val="32"/>
          <w:lang w:eastAsia="zh-CN"/>
        </w:rPr>
        <w:t>，占</w:t>
      </w:r>
      <w:r>
        <w:rPr>
          <w:rFonts w:hint="eastAsia" w:ascii="仿宋" w:hAnsi="仿宋" w:eastAsia="仿宋" w:cs="仿宋"/>
          <w:bCs/>
          <w:sz w:val="32"/>
          <w:szCs w:val="32"/>
          <w:lang w:val="en-US" w:eastAsia="zh-CN"/>
        </w:rPr>
        <w:t>98.42%</w:t>
      </w:r>
      <w:r>
        <w:rPr>
          <w:rFonts w:hint="eastAsia" w:ascii="仿宋" w:hAnsi="仿宋" w:eastAsia="仿宋" w:cs="仿宋"/>
          <w:bCs/>
          <w:sz w:val="32"/>
          <w:szCs w:val="32"/>
        </w:rPr>
        <w:t>。</w:t>
      </w:r>
    </w:p>
    <w:p>
      <w:pPr>
        <w:spacing w:line="600" w:lineRule="exact"/>
        <w:rPr>
          <w:rFonts w:ascii="仿宋" w:hAnsi="仿宋" w:eastAsia="仿宋" w:cs="仿宋"/>
          <w:b/>
          <w:bCs/>
          <w:sz w:val="32"/>
          <w:szCs w:val="32"/>
        </w:rPr>
      </w:pPr>
      <w:r>
        <w:rPr>
          <w:rFonts w:hint="eastAsia" w:ascii="仿宋" w:hAnsi="仿宋" w:eastAsia="仿宋" w:cs="仿宋"/>
          <w:bCs/>
          <w:sz w:val="32"/>
          <w:szCs w:val="32"/>
        </w:rPr>
        <w:t xml:space="preserve">      </w:t>
      </w:r>
      <w:r>
        <w:rPr>
          <w:rFonts w:hint="eastAsia" w:ascii="仿宋" w:hAnsi="仿宋" w:eastAsia="仿宋" w:cs="仿宋"/>
          <w:bCs/>
          <w:sz w:val="32"/>
          <w:szCs w:val="32"/>
          <w:lang w:val="en-US" w:eastAsia="zh-CN"/>
        </w:rPr>
        <w:t xml:space="preserve">   </w:t>
      </w:r>
      <w:r>
        <w:rPr>
          <w:rFonts w:hint="eastAsia" w:ascii="华文楷体" w:hAnsi="华文楷体" w:eastAsia="华文楷体"/>
          <w:b/>
          <w:sz w:val="32"/>
          <w:szCs w:val="32"/>
          <w:lang w:eastAsia="zh-CN"/>
        </w:rPr>
        <w:t>四、</w:t>
      </w:r>
      <w:r>
        <w:rPr>
          <w:rFonts w:hint="eastAsia" w:ascii="华文楷体" w:hAnsi="华文楷体" w:eastAsia="华文楷体"/>
          <w:b/>
          <w:sz w:val="32"/>
          <w:szCs w:val="32"/>
        </w:rPr>
        <w:t>财政拨款收入支出决算总体情况说明</w:t>
      </w:r>
    </w:p>
    <w:p>
      <w:pPr>
        <w:spacing w:line="600" w:lineRule="exact"/>
        <w:ind w:left="420" w:leftChars="200" w:firstLine="964" w:firstLineChars="300"/>
        <w:jc w:val="left"/>
        <w:rPr>
          <w:rFonts w:hint="eastAsia" w:ascii="仿宋" w:hAnsi="仿宋" w:eastAsia="仿宋"/>
          <w:b/>
          <w:bCs/>
          <w:sz w:val="32"/>
          <w:szCs w:val="32"/>
          <w:lang w:val="en-US" w:eastAsia="zh-CN"/>
        </w:rPr>
      </w:pPr>
      <w:r>
        <w:rPr>
          <w:rFonts w:hint="eastAsia" w:ascii="仿宋" w:hAnsi="仿宋" w:eastAsia="仿宋"/>
          <w:b/>
          <w:bCs/>
          <w:sz w:val="32"/>
          <w:szCs w:val="32"/>
          <w:lang w:eastAsia="zh-CN"/>
        </w:rPr>
        <w:t>（一）财政拨款收支与</w:t>
      </w:r>
      <w:r>
        <w:rPr>
          <w:rFonts w:hint="eastAsia" w:ascii="仿宋" w:hAnsi="仿宋" w:eastAsia="仿宋"/>
          <w:b/>
          <w:bCs/>
          <w:sz w:val="32"/>
          <w:szCs w:val="32"/>
          <w:lang w:val="en-US" w:eastAsia="zh-CN"/>
        </w:rPr>
        <w:t>2016年度决算对比情况</w:t>
      </w:r>
    </w:p>
    <w:p>
      <w:pPr>
        <w:spacing w:line="600" w:lineRule="exact"/>
        <w:ind w:left="739" w:leftChars="352" w:firstLine="640" w:firstLineChars="200"/>
        <w:jc w:val="left"/>
        <w:rPr>
          <w:rFonts w:ascii="仿宋" w:hAnsi="仿宋" w:eastAsia="仿宋" w:cs="仿宋"/>
          <w:bCs/>
          <w:sz w:val="32"/>
          <w:szCs w:val="32"/>
        </w:rPr>
      </w:pPr>
      <w:r>
        <w:rPr>
          <w:rFonts w:hint="eastAsia" w:ascii="仿宋" w:hAnsi="仿宋" w:eastAsia="仿宋" w:cs="仿宋"/>
          <w:bCs/>
          <w:sz w:val="32"/>
          <w:szCs w:val="32"/>
          <w:lang w:eastAsia="zh-CN"/>
        </w:rPr>
        <w:t>本部门</w:t>
      </w:r>
      <w:r>
        <w:rPr>
          <w:rFonts w:hint="eastAsia" w:ascii="仿宋" w:hAnsi="仿宋" w:eastAsia="仿宋" w:cs="仿宋"/>
          <w:bCs/>
          <w:sz w:val="32"/>
          <w:szCs w:val="32"/>
        </w:rPr>
        <w:t>201</w:t>
      </w:r>
      <w:r>
        <w:rPr>
          <w:rFonts w:hint="eastAsia" w:ascii="仿宋" w:hAnsi="仿宋" w:eastAsia="仿宋" w:cs="仿宋"/>
          <w:bCs/>
          <w:sz w:val="32"/>
          <w:szCs w:val="32"/>
          <w:lang w:val="en-US" w:eastAsia="zh-CN"/>
        </w:rPr>
        <w:t>7</w:t>
      </w:r>
      <w:r>
        <w:rPr>
          <w:rFonts w:hint="eastAsia" w:ascii="仿宋" w:hAnsi="仿宋" w:eastAsia="仿宋" w:cs="仿宋"/>
          <w:bCs/>
          <w:sz w:val="32"/>
          <w:szCs w:val="32"/>
        </w:rPr>
        <w:t>年度一般公共预算财政拨款年初结转和结余</w:t>
      </w:r>
      <w:r>
        <w:rPr>
          <w:rFonts w:hint="eastAsia" w:ascii="仿宋" w:hAnsi="仿宋" w:eastAsia="仿宋" w:cs="仿宋"/>
          <w:bCs/>
          <w:sz w:val="32"/>
          <w:szCs w:val="32"/>
          <w:lang w:val="en-US" w:eastAsia="zh-CN"/>
        </w:rPr>
        <w:t>71.56</w:t>
      </w:r>
      <w:r>
        <w:rPr>
          <w:rFonts w:hint="eastAsia" w:ascii="仿宋" w:hAnsi="仿宋" w:eastAsia="仿宋" w:cs="仿宋"/>
          <w:bCs/>
          <w:sz w:val="32"/>
          <w:szCs w:val="32"/>
        </w:rPr>
        <w:t>万元，本年财政拨款收入</w:t>
      </w:r>
      <w:r>
        <w:rPr>
          <w:rFonts w:hint="eastAsia" w:ascii="仿宋" w:hAnsi="仿宋" w:eastAsia="仿宋" w:cs="仿宋"/>
          <w:bCs/>
          <w:sz w:val="32"/>
          <w:szCs w:val="32"/>
          <w:lang w:val="en-US" w:eastAsia="zh-CN"/>
        </w:rPr>
        <w:t>106088.37</w:t>
      </w:r>
      <w:r>
        <w:rPr>
          <w:rFonts w:hint="eastAsia" w:ascii="仿宋" w:hAnsi="仿宋" w:eastAsia="仿宋" w:cs="仿宋"/>
          <w:bCs/>
          <w:sz w:val="32"/>
          <w:szCs w:val="32"/>
        </w:rPr>
        <w:t>万元，</w:t>
      </w:r>
      <w:r>
        <w:rPr>
          <w:rFonts w:hint="eastAsia" w:ascii="仿宋" w:hAnsi="仿宋" w:eastAsia="仿宋" w:cs="仿宋"/>
          <w:bCs/>
          <w:sz w:val="32"/>
          <w:szCs w:val="32"/>
          <w:lang w:eastAsia="zh-CN"/>
        </w:rPr>
        <w:t>本年</w:t>
      </w:r>
      <w:r>
        <w:rPr>
          <w:rFonts w:hint="eastAsia" w:ascii="仿宋" w:hAnsi="仿宋" w:eastAsia="仿宋" w:cs="仿宋"/>
          <w:bCs/>
          <w:sz w:val="32"/>
          <w:szCs w:val="32"/>
        </w:rPr>
        <w:t>财政拨款支出</w:t>
      </w:r>
      <w:r>
        <w:rPr>
          <w:rFonts w:hint="eastAsia" w:ascii="仿宋" w:hAnsi="仿宋" w:eastAsia="仿宋" w:cs="仿宋"/>
          <w:snapToGrid w:val="0"/>
          <w:kern w:val="0"/>
          <w:sz w:val="32"/>
          <w:szCs w:val="32"/>
          <w:lang w:val="en-US" w:eastAsia="zh-CN"/>
        </w:rPr>
        <w:t>106105.08</w:t>
      </w:r>
      <w:r>
        <w:rPr>
          <w:rFonts w:hint="eastAsia" w:ascii="仿宋" w:hAnsi="仿宋" w:eastAsia="仿宋" w:cs="仿宋"/>
          <w:bCs/>
          <w:sz w:val="32"/>
          <w:szCs w:val="32"/>
        </w:rPr>
        <w:t>万元</w:t>
      </w:r>
      <w:r>
        <w:rPr>
          <w:rFonts w:hint="eastAsia" w:ascii="仿宋" w:hAnsi="仿宋" w:eastAsia="仿宋" w:cs="仿宋"/>
          <w:bCs/>
          <w:sz w:val="32"/>
          <w:szCs w:val="32"/>
          <w:lang w:eastAsia="zh-CN"/>
        </w:rPr>
        <w:t>，年末结转和结余</w:t>
      </w:r>
      <w:r>
        <w:rPr>
          <w:rFonts w:hint="eastAsia" w:ascii="仿宋" w:hAnsi="仿宋" w:eastAsia="仿宋" w:cs="仿宋"/>
          <w:bCs/>
          <w:sz w:val="32"/>
          <w:szCs w:val="32"/>
          <w:lang w:val="en-US" w:eastAsia="zh-CN"/>
        </w:rPr>
        <w:t>54.86万元</w:t>
      </w:r>
      <w:r>
        <w:rPr>
          <w:rFonts w:hint="eastAsia" w:ascii="仿宋" w:hAnsi="仿宋" w:eastAsia="仿宋" w:cs="仿宋"/>
          <w:bCs/>
          <w:sz w:val="32"/>
          <w:szCs w:val="32"/>
        </w:rPr>
        <w:t>。</w:t>
      </w:r>
      <w:r>
        <w:rPr>
          <w:rFonts w:hint="eastAsia" w:ascii="仿宋" w:hAnsi="仿宋" w:eastAsia="仿宋" w:cs="仿宋"/>
          <w:bCs/>
          <w:sz w:val="32"/>
          <w:szCs w:val="32"/>
          <w:lang w:eastAsia="zh-CN"/>
        </w:rPr>
        <w:t>与</w:t>
      </w:r>
      <w:r>
        <w:rPr>
          <w:rFonts w:hint="eastAsia" w:ascii="仿宋" w:hAnsi="仿宋" w:eastAsia="仿宋" w:cs="仿宋"/>
          <w:bCs/>
          <w:sz w:val="32"/>
          <w:szCs w:val="32"/>
        </w:rPr>
        <w:t>201</w:t>
      </w:r>
      <w:r>
        <w:rPr>
          <w:rFonts w:hint="eastAsia" w:ascii="仿宋" w:hAnsi="仿宋" w:eastAsia="仿宋" w:cs="仿宋"/>
          <w:bCs/>
          <w:sz w:val="32"/>
          <w:szCs w:val="32"/>
          <w:lang w:val="en-US" w:eastAsia="zh-CN"/>
        </w:rPr>
        <w:t>6</w:t>
      </w:r>
      <w:r>
        <w:rPr>
          <w:rFonts w:hint="eastAsia" w:ascii="仿宋" w:hAnsi="仿宋" w:eastAsia="仿宋" w:cs="仿宋"/>
          <w:bCs/>
          <w:sz w:val="32"/>
          <w:szCs w:val="32"/>
        </w:rPr>
        <w:t>年度</w:t>
      </w:r>
      <w:r>
        <w:rPr>
          <w:rFonts w:hint="eastAsia" w:ascii="仿宋" w:hAnsi="仿宋" w:eastAsia="仿宋" w:cs="仿宋"/>
          <w:bCs/>
          <w:sz w:val="32"/>
          <w:szCs w:val="32"/>
          <w:lang w:eastAsia="zh-CN"/>
        </w:rPr>
        <w:t>决算数相比，财政拨款本年收入</w:t>
      </w:r>
      <w:r>
        <w:rPr>
          <w:rFonts w:hint="eastAsia" w:ascii="仿宋" w:hAnsi="仿宋" w:eastAsia="仿宋" w:cs="仿宋"/>
          <w:bCs/>
          <w:color w:val="auto"/>
          <w:sz w:val="32"/>
          <w:szCs w:val="32"/>
          <w:lang w:eastAsia="zh-CN"/>
        </w:rPr>
        <w:t>增加</w:t>
      </w:r>
      <w:r>
        <w:rPr>
          <w:rFonts w:hint="eastAsia" w:ascii="仿宋" w:hAnsi="仿宋" w:eastAsia="仿宋" w:cs="仿宋"/>
          <w:bCs/>
          <w:color w:val="auto"/>
          <w:sz w:val="32"/>
          <w:szCs w:val="32"/>
          <w:lang w:val="en-US" w:eastAsia="zh-CN"/>
        </w:rPr>
        <w:t>87523.09</w:t>
      </w:r>
      <w:r>
        <w:rPr>
          <w:rFonts w:hint="eastAsia" w:ascii="仿宋" w:hAnsi="仿宋" w:eastAsia="仿宋" w:cs="仿宋"/>
          <w:bCs/>
          <w:color w:val="auto"/>
          <w:sz w:val="32"/>
          <w:szCs w:val="32"/>
        </w:rPr>
        <w:t>万元</w:t>
      </w:r>
      <w:r>
        <w:rPr>
          <w:rFonts w:hint="eastAsia" w:ascii="仿宋" w:hAnsi="仿宋" w:eastAsia="仿宋" w:cs="仿宋"/>
          <w:bCs/>
          <w:color w:val="auto"/>
          <w:sz w:val="32"/>
          <w:szCs w:val="32"/>
          <w:lang w:eastAsia="zh-CN"/>
        </w:rPr>
        <w:t>，增长</w:t>
      </w:r>
      <w:r>
        <w:rPr>
          <w:rFonts w:hint="eastAsia" w:ascii="仿宋" w:hAnsi="仿宋" w:eastAsia="仿宋" w:cs="仿宋"/>
          <w:bCs/>
          <w:color w:val="auto"/>
          <w:sz w:val="32"/>
          <w:szCs w:val="32"/>
          <w:lang w:val="en-US" w:eastAsia="zh-CN"/>
        </w:rPr>
        <w:t>471.43%，主要原因:一</w:t>
      </w:r>
      <w:r>
        <w:rPr>
          <w:rFonts w:hint="eastAsia" w:ascii="仿宋" w:hAnsi="仿宋" w:eastAsia="仿宋" w:cs="仿宋"/>
          <w:bCs/>
          <w:sz w:val="32"/>
          <w:szCs w:val="32"/>
        </w:rPr>
        <w:t>是社会保险待遇逐步提高，财政对社会保险基金的补助支出大幅增加</w:t>
      </w:r>
      <w:r>
        <w:rPr>
          <w:rFonts w:hint="eastAsia" w:ascii="仿宋" w:hAnsi="仿宋" w:eastAsia="仿宋" w:cs="仿宋"/>
          <w:bCs/>
          <w:sz w:val="32"/>
          <w:szCs w:val="32"/>
          <w:lang w:eastAsia="zh-CN"/>
        </w:rPr>
        <w:t>。二是政府性基金财政拨款相关业务划入我部门</w:t>
      </w:r>
      <w:r>
        <w:rPr>
          <w:rFonts w:hint="eastAsia" w:ascii="仿宋" w:hAnsi="仿宋" w:eastAsia="仿宋" w:cs="仿宋"/>
          <w:bCs/>
          <w:sz w:val="32"/>
          <w:szCs w:val="32"/>
          <w:lang w:val="en-US" w:eastAsia="zh-CN"/>
        </w:rPr>
        <w:t>。三是</w:t>
      </w:r>
      <w:r>
        <w:rPr>
          <w:rFonts w:hint="eastAsia" w:ascii="仿宋" w:hAnsi="仿宋" w:eastAsia="仿宋" w:cs="仿宋"/>
          <w:bCs/>
          <w:sz w:val="32"/>
          <w:szCs w:val="32"/>
        </w:rPr>
        <w:t>为充分实现就业再就业，加大了就业再就业各项政策落实的工作力度，增加了就业补助资金支出。四是人员经费和机关运行经费标准较上年度有所提高。</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640" w:firstLineChars="200"/>
        <w:jc w:val="left"/>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lang w:val="en-US" w:eastAsia="zh-CN"/>
        </w:rPr>
        <w:t>政府性基金预算增加。本年支出增加87568.39万元，</w:t>
      </w:r>
      <w:r>
        <w:rPr>
          <w:rFonts w:hint="eastAsia" w:ascii="仿宋" w:hAnsi="仿宋" w:eastAsia="仿宋" w:cs="仿宋"/>
          <w:bCs/>
          <w:color w:val="auto"/>
          <w:sz w:val="32"/>
          <w:szCs w:val="32"/>
          <w:lang w:eastAsia="zh-CN"/>
        </w:rPr>
        <w:t>增长</w:t>
      </w:r>
      <w:r>
        <w:rPr>
          <w:rFonts w:hint="eastAsia" w:ascii="仿宋" w:hAnsi="仿宋" w:eastAsia="仿宋" w:cs="仿宋"/>
          <w:bCs/>
          <w:color w:val="auto"/>
          <w:sz w:val="32"/>
          <w:szCs w:val="32"/>
          <w:lang w:val="en-US" w:eastAsia="zh-CN"/>
        </w:rPr>
        <w:t>472.40%，主要原因是政府性基金支出增加</w:t>
      </w:r>
      <w:r>
        <w:rPr>
          <w:rFonts w:hint="eastAsia" w:ascii="仿宋" w:hAnsi="仿宋" w:eastAsia="仿宋" w:cs="仿宋"/>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640" w:firstLineChars="200"/>
        <w:jc w:val="left"/>
        <w:textAlignment w:val="auto"/>
        <w:rPr>
          <w:rFonts w:hint="eastAsia" w:ascii="仿宋" w:hAnsi="仿宋" w:eastAsia="仿宋" w:cs="仿宋"/>
          <w:bCs/>
          <w:color w:val="auto"/>
          <w:sz w:val="32"/>
          <w:szCs w:val="32"/>
          <w:lang w:val="en-US" w:eastAsia="zh-CN"/>
        </w:rPr>
      </w:pPr>
      <w:r>
        <w:rPr>
          <w:rFonts w:hint="eastAsia" w:ascii="仿宋" w:hAnsi="仿宋" w:eastAsia="仿宋" w:cs="仿宋"/>
          <w:bCs/>
          <w:sz w:val="32"/>
          <w:szCs w:val="32"/>
        </w:rPr>
        <w:t>其中一般公共预算财政拨款</w:t>
      </w:r>
      <w:r>
        <w:rPr>
          <w:rFonts w:hint="eastAsia" w:ascii="仿宋" w:hAnsi="仿宋" w:eastAsia="仿宋" w:cs="仿宋"/>
          <w:bCs/>
          <w:sz w:val="32"/>
          <w:szCs w:val="32"/>
          <w:lang w:eastAsia="zh-CN"/>
        </w:rPr>
        <w:t>年初结转和结余</w:t>
      </w:r>
      <w:r>
        <w:rPr>
          <w:rFonts w:hint="eastAsia" w:ascii="仿宋" w:hAnsi="仿宋" w:eastAsia="仿宋" w:cs="仿宋"/>
          <w:bCs/>
          <w:sz w:val="32"/>
          <w:szCs w:val="32"/>
          <w:lang w:val="en-US" w:eastAsia="zh-CN"/>
        </w:rPr>
        <w:t>71.56</w:t>
      </w:r>
      <w:r>
        <w:rPr>
          <w:rFonts w:hint="eastAsia" w:ascii="仿宋" w:hAnsi="仿宋" w:eastAsia="仿宋" w:cs="仿宋"/>
          <w:bCs/>
          <w:sz w:val="32"/>
          <w:szCs w:val="32"/>
        </w:rPr>
        <w:t>万元</w:t>
      </w:r>
      <w:r>
        <w:rPr>
          <w:rFonts w:hint="eastAsia" w:ascii="仿宋" w:hAnsi="仿宋" w:eastAsia="仿宋" w:cs="仿宋"/>
          <w:bCs/>
          <w:sz w:val="32"/>
          <w:szCs w:val="32"/>
          <w:lang w:eastAsia="zh-CN"/>
        </w:rPr>
        <w:t>，本年收入</w:t>
      </w:r>
      <w:r>
        <w:rPr>
          <w:rFonts w:hint="eastAsia" w:ascii="仿宋" w:hAnsi="仿宋" w:eastAsia="仿宋" w:cs="仿宋"/>
          <w:bCs/>
          <w:sz w:val="32"/>
          <w:szCs w:val="32"/>
          <w:lang w:val="en-US" w:eastAsia="zh-CN"/>
        </w:rPr>
        <w:t>39567.96</w:t>
      </w:r>
      <w:r>
        <w:rPr>
          <w:rFonts w:hint="eastAsia" w:ascii="仿宋" w:hAnsi="仿宋" w:eastAsia="仿宋" w:cs="仿宋"/>
          <w:bCs/>
          <w:sz w:val="32"/>
          <w:szCs w:val="32"/>
        </w:rPr>
        <w:t>万元</w:t>
      </w:r>
      <w:r>
        <w:rPr>
          <w:rFonts w:hint="eastAsia" w:ascii="仿宋" w:hAnsi="仿宋" w:eastAsia="仿宋" w:cs="仿宋"/>
          <w:bCs/>
          <w:sz w:val="32"/>
          <w:szCs w:val="32"/>
          <w:lang w:eastAsia="zh-CN"/>
        </w:rPr>
        <w:t>，本年支出39584.67万元，年末结转和结余</w:t>
      </w:r>
      <w:r>
        <w:rPr>
          <w:rFonts w:hint="eastAsia" w:ascii="仿宋" w:hAnsi="仿宋" w:eastAsia="仿宋" w:cs="仿宋"/>
          <w:bCs/>
          <w:sz w:val="32"/>
          <w:szCs w:val="32"/>
          <w:lang w:val="en-US" w:eastAsia="zh-CN"/>
        </w:rPr>
        <w:t>54.86万元。与2016年度决算相比，</w:t>
      </w:r>
      <w:r>
        <w:rPr>
          <w:rFonts w:hint="eastAsia" w:ascii="仿宋" w:hAnsi="仿宋" w:eastAsia="仿宋" w:cs="仿宋"/>
          <w:bCs/>
          <w:sz w:val="32"/>
          <w:szCs w:val="32"/>
        </w:rPr>
        <w:t>一般公共预算财政拨款</w:t>
      </w:r>
      <w:r>
        <w:rPr>
          <w:rFonts w:hint="eastAsia" w:ascii="仿宋" w:hAnsi="仿宋" w:eastAsia="仿宋" w:cs="仿宋"/>
          <w:bCs/>
          <w:sz w:val="32"/>
          <w:szCs w:val="32"/>
          <w:lang w:eastAsia="zh-CN"/>
        </w:rPr>
        <w:t>本年收入</w:t>
      </w:r>
      <w:r>
        <w:rPr>
          <w:rFonts w:hint="eastAsia" w:ascii="仿宋" w:hAnsi="仿宋" w:eastAsia="仿宋" w:cs="仿宋"/>
          <w:bCs/>
          <w:color w:val="auto"/>
          <w:sz w:val="32"/>
          <w:szCs w:val="32"/>
          <w:lang w:eastAsia="zh-CN"/>
        </w:rPr>
        <w:t>增加</w:t>
      </w:r>
      <w:r>
        <w:rPr>
          <w:rFonts w:hint="eastAsia" w:ascii="仿宋" w:hAnsi="仿宋" w:eastAsia="仿宋" w:cs="仿宋"/>
          <w:bCs/>
          <w:color w:val="auto"/>
          <w:sz w:val="32"/>
          <w:szCs w:val="32"/>
          <w:lang w:val="en-US" w:eastAsia="zh-CN"/>
        </w:rPr>
        <w:t>21002.68</w:t>
      </w:r>
      <w:r>
        <w:rPr>
          <w:rFonts w:hint="eastAsia" w:ascii="仿宋" w:hAnsi="仿宋" w:eastAsia="仿宋" w:cs="仿宋"/>
          <w:bCs/>
          <w:color w:val="auto"/>
          <w:sz w:val="32"/>
          <w:szCs w:val="32"/>
          <w:lang w:eastAsia="zh-CN"/>
        </w:rPr>
        <w:t>万元，增长</w:t>
      </w:r>
      <w:r>
        <w:rPr>
          <w:rFonts w:hint="eastAsia" w:ascii="仿宋" w:hAnsi="仿宋" w:eastAsia="仿宋" w:cs="仿宋"/>
          <w:bCs/>
          <w:color w:val="auto"/>
          <w:sz w:val="32"/>
          <w:szCs w:val="32"/>
          <w:lang w:val="en-US" w:eastAsia="zh-CN"/>
        </w:rPr>
        <w:t>113.12%，主要原因是人员增加，项目经费增加。本年支出增加21047.98万元，增长113.54%，主要原因是人员增加和项目活动增加导致经费增加。</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640" w:firstLineChars="200"/>
        <w:jc w:val="left"/>
        <w:textAlignment w:val="auto"/>
        <w:rPr>
          <w:rFonts w:hint="eastAsia" w:ascii="仿宋" w:hAnsi="仿宋" w:eastAsia="仿宋" w:cs="仿宋"/>
          <w:bCs/>
          <w:color w:val="FF0000"/>
          <w:sz w:val="32"/>
          <w:szCs w:val="32"/>
          <w:lang w:val="en-US" w:eastAsia="zh-CN"/>
        </w:rPr>
      </w:pPr>
      <w:r>
        <w:rPr>
          <w:rFonts w:hint="eastAsia" w:ascii="仿宋" w:hAnsi="仿宋" w:eastAsia="仿宋" w:cs="仿宋"/>
          <w:bCs/>
          <w:sz w:val="32"/>
          <w:szCs w:val="32"/>
          <w:lang w:eastAsia="zh-CN"/>
        </w:rPr>
        <w:t>政府性基金预算财政拨款年初结转和结余</w:t>
      </w:r>
      <w:r>
        <w:rPr>
          <w:rFonts w:hint="eastAsia" w:ascii="仿宋" w:hAnsi="仿宋" w:eastAsia="仿宋" w:cs="仿宋"/>
          <w:bCs/>
          <w:sz w:val="32"/>
          <w:szCs w:val="32"/>
          <w:lang w:val="en-US" w:eastAsia="zh-CN"/>
        </w:rPr>
        <w:t>0万元，本年收入66520.41万元，本年支出66520.41万元，年末结转和结余0万元。与2016年度决算相比，</w:t>
      </w:r>
      <w:r>
        <w:rPr>
          <w:rFonts w:hint="eastAsia" w:ascii="仿宋" w:hAnsi="仿宋" w:eastAsia="仿宋" w:cs="仿宋"/>
          <w:bCs/>
          <w:sz w:val="32"/>
          <w:szCs w:val="32"/>
          <w:lang w:eastAsia="zh-CN"/>
        </w:rPr>
        <w:t>政府性基金预算财政拨款本年收入增加</w:t>
      </w:r>
      <w:r>
        <w:rPr>
          <w:rFonts w:hint="eastAsia" w:ascii="仿宋" w:hAnsi="仿宋" w:eastAsia="仿宋" w:cs="仿宋"/>
          <w:bCs/>
          <w:sz w:val="32"/>
          <w:szCs w:val="32"/>
          <w:lang w:val="en-US" w:eastAsia="zh-CN"/>
        </w:rPr>
        <w:t>66520.41</w:t>
      </w:r>
      <w:r>
        <w:rPr>
          <w:rFonts w:hint="eastAsia" w:ascii="仿宋" w:hAnsi="仿宋" w:eastAsia="仿宋" w:cs="仿宋"/>
          <w:bCs/>
          <w:sz w:val="32"/>
          <w:szCs w:val="32"/>
          <w:lang w:eastAsia="zh-CN"/>
        </w:rPr>
        <w:t>万元，增长</w:t>
      </w:r>
      <w:r>
        <w:rPr>
          <w:rFonts w:hint="eastAsia" w:ascii="仿宋" w:hAnsi="仿宋" w:eastAsia="仿宋" w:cs="仿宋"/>
          <w:bCs/>
          <w:sz w:val="32"/>
          <w:szCs w:val="32"/>
          <w:lang w:val="en-US" w:eastAsia="zh-CN"/>
        </w:rPr>
        <w:t>100%，主要原因是政府性基金预算加入部门预算中。</w:t>
      </w:r>
      <w:r>
        <w:rPr>
          <w:rFonts w:hint="eastAsia" w:ascii="仿宋" w:hAnsi="仿宋" w:eastAsia="仿宋" w:cs="仿宋"/>
          <w:bCs/>
          <w:sz w:val="32"/>
          <w:szCs w:val="32"/>
          <w:lang w:eastAsia="zh-CN"/>
        </w:rPr>
        <w:t>本年支出增加</w:t>
      </w:r>
      <w:r>
        <w:rPr>
          <w:rFonts w:hint="eastAsia" w:ascii="仿宋" w:hAnsi="仿宋" w:eastAsia="仿宋" w:cs="仿宋"/>
          <w:bCs/>
          <w:sz w:val="32"/>
          <w:szCs w:val="32"/>
          <w:lang w:val="en-US" w:eastAsia="zh-CN"/>
        </w:rPr>
        <w:t>66520.41</w:t>
      </w:r>
      <w:r>
        <w:rPr>
          <w:rFonts w:hint="eastAsia" w:ascii="仿宋" w:hAnsi="仿宋" w:eastAsia="仿宋" w:cs="仿宋"/>
          <w:bCs/>
          <w:sz w:val="32"/>
          <w:szCs w:val="32"/>
          <w:lang w:eastAsia="zh-CN"/>
        </w:rPr>
        <w:t>万元，增长</w:t>
      </w:r>
      <w:r>
        <w:rPr>
          <w:rFonts w:hint="eastAsia" w:ascii="仿宋" w:hAnsi="仿宋" w:eastAsia="仿宋" w:cs="仿宋"/>
          <w:bCs/>
          <w:sz w:val="32"/>
          <w:szCs w:val="32"/>
          <w:lang w:val="en-US" w:eastAsia="zh-CN"/>
        </w:rPr>
        <w:t>100%，主要原因是政府性基金预算加入部门预算中。</w:t>
      </w:r>
    </w:p>
    <w:p>
      <w:pPr>
        <w:numPr>
          <w:ilvl w:val="0"/>
          <w:numId w:val="0"/>
        </w:numPr>
        <w:spacing w:line="600" w:lineRule="exact"/>
        <w:ind w:firstLine="1285" w:firstLineChars="400"/>
        <w:jc w:val="left"/>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(二)财政拨款收支与年初预算数对比情况</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640" w:firstLineChars="200"/>
        <w:jc w:val="left"/>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本部门</w:t>
      </w:r>
      <w:r>
        <w:rPr>
          <w:rFonts w:hint="eastAsia" w:ascii="仿宋" w:hAnsi="仿宋" w:eastAsia="仿宋" w:cs="仿宋"/>
          <w:bCs/>
          <w:color w:val="auto"/>
          <w:sz w:val="32"/>
          <w:szCs w:val="32"/>
        </w:rPr>
        <w:t>201</w:t>
      </w:r>
      <w:r>
        <w:rPr>
          <w:rFonts w:hint="eastAsia" w:ascii="仿宋" w:hAnsi="仿宋" w:eastAsia="仿宋" w:cs="仿宋"/>
          <w:bCs/>
          <w:color w:val="auto"/>
          <w:sz w:val="32"/>
          <w:szCs w:val="32"/>
          <w:lang w:val="en-US" w:eastAsia="zh-CN"/>
        </w:rPr>
        <w:t>7</w:t>
      </w:r>
      <w:r>
        <w:rPr>
          <w:rFonts w:hint="eastAsia" w:ascii="仿宋" w:hAnsi="仿宋" w:eastAsia="仿宋" w:cs="仿宋"/>
          <w:bCs/>
          <w:color w:val="auto"/>
          <w:sz w:val="32"/>
          <w:szCs w:val="32"/>
        </w:rPr>
        <w:t>年度财政拨款本年收入</w:t>
      </w:r>
      <w:r>
        <w:rPr>
          <w:rFonts w:hint="eastAsia" w:ascii="仿宋" w:hAnsi="仿宋" w:eastAsia="仿宋" w:cs="仿宋"/>
          <w:bCs/>
          <w:color w:val="auto"/>
          <w:sz w:val="32"/>
          <w:szCs w:val="32"/>
          <w:lang w:val="en-US" w:eastAsia="zh-CN"/>
        </w:rPr>
        <w:t>较2017年初预算增加104475.95万元</w:t>
      </w:r>
      <w:r>
        <w:rPr>
          <w:rFonts w:hint="eastAsia" w:ascii="仿宋" w:hAnsi="仿宋" w:eastAsia="仿宋" w:cs="仿宋"/>
          <w:bCs/>
          <w:color w:val="auto"/>
          <w:sz w:val="32"/>
          <w:szCs w:val="32"/>
        </w:rPr>
        <w:t>，</w:t>
      </w:r>
      <w:r>
        <w:rPr>
          <w:rFonts w:hint="eastAsia" w:ascii="仿宋" w:hAnsi="仿宋" w:eastAsia="仿宋" w:cs="仿宋"/>
          <w:bCs/>
          <w:color w:val="auto"/>
          <w:sz w:val="32"/>
          <w:szCs w:val="32"/>
          <w:lang w:eastAsia="zh-CN"/>
        </w:rPr>
        <w:t>增长</w:t>
      </w:r>
      <w:r>
        <w:rPr>
          <w:rFonts w:hint="eastAsia" w:ascii="仿宋" w:hAnsi="仿宋" w:eastAsia="仿宋" w:cs="仿宋"/>
          <w:bCs/>
          <w:color w:val="auto"/>
          <w:sz w:val="32"/>
          <w:szCs w:val="32"/>
          <w:lang w:val="en-US" w:eastAsia="zh-CN"/>
        </w:rPr>
        <w:t>6479.41%，主要原因是政府性基金预算加入部门预算中</w:t>
      </w:r>
      <w:r>
        <w:rPr>
          <w:rFonts w:hint="eastAsia" w:ascii="仿宋" w:hAnsi="仿宋" w:eastAsia="仿宋" w:cs="仿宋"/>
          <w:bCs/>
          <w:color w:val="auto"/>
          <w:sz w:val="32"/>
          <w:szCs w:val="32"/>
        </w:rPr>
        <w:t>。</w:t>
      </w:r>
      <w:r>
        <w:rPr>
          <w:rFonts w:hint="eastAsia" w:ascii="仿宋" w:hAnsi="仿宋" w:eastAsia="仿宋" w:cs="仿宋"/>
          <w:bCs/>
          <w:color w:val="auto"/>
          <w:sz w:val="32"/>
          <w:szCs w:val="32"/>
          <w:lang w:val="en-US" w:eastAsia="zh-CN"/>
        </w:rPr>
        <w:t xml:space="preserve"> 本年支出增加104492.65万元，</w:t>
      </w:r>
      <w:r>
        <w:rPr>
          <w:rFonts w:hint="eastAsia" w:ascii="仿宋" w:hAnsi="仿宋" w:eastAsia="仿宋" w:cs="仿宋"/>
          <w:bCs/>
          <w:color w:val="auto"/>
          <w:sz w:val="32"/>
          <w:szCs w:val="32"/>
          <w:lang w:eastAsia="zh-CN"/>
        </w:rPr>
        <w:t>增长</w:t>
      </w:r>
      <w:r>
        <w:rPr>
          <w:rFonts w:hint="eastAsia" w:ascii="仿宋" w:hAnsi="仿宋" w:eastAsia="仿宋" w:cs="仿宋"/>
          <w:bCs/>
          <w:color w:val="auto"/>
          <w:sz w:val="32"/>
          <w:szCs w:val="32"/>
          <w:lang w:val="en-US" w:eastAsia="zh-CN"/>
        </w:rPr>
        <w:t>6480.44%，主要原因;一</w:t>
      </w:r>
      <w:r>
        <w:rPr>
          <w:rFonts w:hint="eastAsia" w:ascii="仿宋" w:hAnsi="仿宋" w:eastAsia="仿宋" w:cs="仿宋"/>
          <w:bCs/>
          <w:sz w:val="32"/>
          <w:szCs w:val="32"/>
        </w:rPr>
        <w:t>是社会保险待遇逐步提高，财政对社会保险基金的补助支出大幅增加</w:t>
      </w:r>
      <w:r>
        <w:rPr>
          <w:rFonts w:hint="eastAsia" w:ascii="仿宋" w:hAnsi="仿宋" w:eastAsia="仿宋" w:cs="仿宋"/>
          <w:bCs/>
          <w:sz w:val="32"/>
          <w:szCs w:val="32"/>
          <w:lang w:eastAsia="zh-CN"/>
        </w:rPr>
        <w:t>。二是政府性基金财政拨款相关业务划入我部门</w:t>
      </w:r>
      <w:r>
        <w:rPr>
          <w:rFonts w:hint="eastAsia" w:ascii="仿宋" w:hAnsi="仿宋" w:eastAsia="仿宋" w:cs="仿宋"/>
          <w:bCs/>
          <w:sz w:val="32"/>
          <w:szCs w:val="32"/>
          <w:lang w:val="en-US" w:eastAsia="zh-CN"/>
        </w:rPr>
        <w:t>。三是</w:t>
      </w:r>
      <w:r>
        <w:rPr>
          <w:rFonts w:hint="eastAsia" w:ascii="仿宋" w:hAnsi="仿宋" w:eastAsia="仿宋" w:cs="仿宋"/>
          <w:bCs/>
          <w:sz w:val="32"/>
          <w:szCs w:val="32"/>
        </w:rPr>
        <w:t>为充分实现就业再就业，加大了就业再就业各项政策落实的工作力度，增加了就业补助资金支出。四是人员经费和机关运行经费标准较上年度有所提高。</w:t>
      </w:r>
      <w:r>
        <w:rPr>
          <w:rFonts w:hint="eastAsia" w:ascii="仿宋" w:hAnsi="仿宋" w:eastAsia="仿宋" w:cs="仿宋"/>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640" w:firstLineChars="200"/>
        <w:jc w:val="left"/>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rPr>
        <w:t>其中</w:t>
      </w:r>
      <w:r>
        <w:rPr>
          <w:rFonts w:hint="eastAsia" w:ascii="仿宋" w:hAnsi="仿宋" w:eastAsia="仿宋" w:cs="仿宋"/>
          <w:bCs/>
          <w:color w:val="auto"/>
          <w:sz w:val="32"/>
          <w:szCs w:val="32"/>
          <w:lang w:eastAsia="zh-CN"/>
        </w:rPr>
        <w:t>本部门</w:t>
      </w:r>
      <w:r>
        <w:rPr>
          <w:rFonts w:hint="eastAsia" w:ascii="仿宋" w:hAnsi="仿宋" w:eastAsia="仿宋" w:cs="仿宋"/>
          <w:bCs/>
          <w:color w:val="auto"/>
          <w:sz w:val="32"/>
          <w:szCs w:val="32"/>
          <w:lang w:val="en-US" w:eastAsia="zh-CN"/>
        </w:rPr>
        <w:t>2017年度</w:t>
      </w:r>
      <w:r>
        <w:rPr>
          <w:rFonts w:hint="eastAsia" w:ascii="仿宋" w:hAnsi="仿宋" w:eastAsia="仿宋" w:cs="仿宋"/>
          <w:bCs/>
          <w:color w:val="auto"/>
          <w:sz w:val="32"/>
          <w:szCs w:val="32"/>
        </w:rPr>
        <w:t>一般公共预算财政拨款</w:t>
      </w:r>
      <w:r>
        <w:rPr>
          <w:rFonts w:hint="eastAsia" w:ascii="仿宋" w:hAnsi="仿宋" w:eastAsia="仿宋" w:cs="仿宋"/>
          <w:bCs/>
          <w:color w:val="auto"/>
          <w:sz w:val="32"/>
          <w:szCs w:val="32"/>
          <w:lang w:eastAsia="zh-CN"/>
        </w:rPr>
        <w:t>本年收入</w:t>
      </w:r>
      <w:r>
        <w:rPr>
          <w:rFonts w:hint="eastAsia" w:ascii="仿宋" w:hAnsi="仿宋" w:eastAsia="仿宋" w:cs="仿宋"/>
          <w:bCs/>
          <w:color w:val="auto"/>
          <w:sz w:val="32"/>
          <w:szCs w:val="32"/>
          <w:lang w:val="en-US" w:eastAsia="zh-CN"/>
        </w:rPr>
        <w:t>较2017年初预算增加37955.53万元，</w:t>
      </w:r>
      <w:r>
        <w:rPr>
          <w:rFonts w:hint="eastAsia" w:ascii="仿宋" w:hAnsi="仿宋" w:eastAsia="仿宋" w:cs="仿宋"/>
          <w:bCs/>
          <w:color w:val="auto"/>
          <w:sz w:val="32"/>
          <w:szCs w:val="32"/>
          <w:lang w:eastAsia="zh-CN"/>
        </w:rPr>
        <w:t>增长</w:t>
      </w:r>
      <w:r>
        <w:rPr>
          <w:rFonts w:hint="eastAsia" w:ascii="仿宋" w:hAnsi="仿宋" w:eastAsia="仿宋" w:cs="仿宋"/>
          <w:bCs/>
          <w:color w:val="auto"/>
          <w:sz w:val="32"/>
          <w:szCs w:val="32"/>
          <w:lang w:val="en-US" w:eastAsia="zh-CN"/>
        </w:rPr>
        <w:t>2353.93%，主要原因是政府性基金预算加入部门预算</w:t>
      </w:r>
      <w:r>
        <w:rPr>
          <w:rFonts w:hint="eastAsia" w:ascii="仿宋" w:hAnsi="仿宋" w:eastAsia="仿宋" w:cs="仿宋"/>
          <w:bCs/>
          <w:color w:val="auto"/>
          <w:sz w:val="32"/>
          <w:szCs w:val="32"/>
        </w:rPr>
        <w:t>。</w:t>
      </w:r>
      <w:r>
        <w:rPr>
          <w:rFonts w:hint="eastAsia" w:ascii="仿宋" w:hAnsi="仿宋" w:eastAsia="仿宋" w:cs="仿宋"/>
          <w:bCs/>
          <w:color w:val="auto"/>
          <w:sz w:val="32"/>
          <w:szCs w:val="32"/>
          <w:lang w:eastAsia="zh-CN"/>
        </w:rPr>
        <w:t>本年支出增加</w:t>
      </w:r>
      <w:r>
        <w:rPr>
          <w:rFonts w:hint="eastAsia" w:ascii="仿宋" w:hAnsi="仿宋" w:eastAsia="仿宋" w:cs="仿宋"/>
          <w:bCs/>
          <w:color w:val="auto"/>
          <w:sz w:val="32"/>
          <w:szCs w:val="32"/>
          <w:lang w:val="en-US" w:eastAsia="zh-CN"/>
        </w:rPr>
        <w:t>37972.24</w:t>
      </w:r>
      <w:r>
        <w:rPr>
          <w:rFonts w:hint="eastAsia" w:ascii="仿宋" w:hAnsi="仿宋" w:eastAsia="仿宋" w:cs="仿宋"/>
          <w:bCs/>
          <w:color w:val="auto"/>
          <w:sz w:val="32"/>
          <w:szCs w:val="32"/>
          <w:lang w:eastAsia="zh-CN"/>
        </w:rPr>
        <w:t>万元，增长</w:t>
      </w:r>
      <w:r>
        <w:rPr>
          <w:rFonts w:hint="eastAsia" w:ascii="仿宋" w:hAnsi="仿宋" w:eastAsia="仿宋" w:cs="仿宋"/>
          <w:bCs/>
          <w:color w:val="auto"/>
          <w:sz w:val="32"/>
          <w:szCs w:val="32"/>
          <w:lang w:val="en-US" w:eastAsia="zh-CN"/>
        </w:rPr>
        <w:t>2354.97%，主要原因是政府性基金预算加入部门预算。</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640" w:firstLineChars="200"/>
        <w:jc w:val="left"/>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本部门2017年度政府性基金预算财政拨款本年收入较2017年初预算增加66520.41万元，增长100%，主要原因是政府性基金预算财政拨款本年加入部门预算。本年支出增加66520.41万元，增长100%，主要原因是政府性基金预算财政拨款本年加入部门预算。</w:t>
      </w:r>
    </w:p>
    <w:p>
      <w:pPr>
        <w:spacing w:line="600" w:lineRule="exact"/>
        <w:rPr>
          <w:rFonts w:ascii="华文楷体" w:hAnsi="华文楷体" w:eastAsia="华文楷体"/>
          <w:b/>
          <w:sz w:val="32"/>
          <w:szCs w:val="32"/>
        </w:rPr>
      </w:pPr>
      <w:r>
        <w:rPr>
          <w:rFonts w:hint="eastAsia" w:ascii="仿宋" w:hAnsi="仿宋" w:eastAsia="仿宋" w:cs="仿宋"/>
          <w:b/>
          <w:bCs/>
          <w:sz w:val="32"/>
          <w:szCs w:val="32"/>
        </w:rPr>
        <w:t xml:space="preserve">     </w:t>
      </w:r>
      <w:r>
        <w:rPr>
          <w:rFonts w:hint="eastAsia" w:ascii="仿宋" w:hAnsi="仿宋" w:eastAsia="仿宋" w:cs="仿宋"/>
          <w:b/>
          <w:bCs/>
          <w:sz w:val="32"/>
          <w:szCs w:val="32"/>
          <w:lang w:val="en-US" w:eastAsia="zh-CN"/>
        </w:rPr>
        <w:t xml:space="preserve">   五、</w:t>
      </w:r>
      <w:r>
        <w:rPr>
          <w:rFonts w:hint="eastAsia" w:ascii="华文楷体" w:hAnsi="华文楷体" w:eastAsia="华文楷体"/>
          <w:b/>
          <w:sz w:val="32"/>
          <w:szCs w:val="32"/>
        </w:rPr>
        <w:t xml:space="preserve"> </w:t>
      </w:r>
      <w:r>
        <w:rPr>
          <w:rFonts w:hint="eastAsia" w:ascii="华文楷体" w:hAnsi="华文楷体" w:eastAsia="华文楷体"/>
          <w:b/>
          <w:sz w:val="32"/>
          <w:szCs w:val="32"/>
          <w:lang w:eastAsia="zh-CN"/>
        </w:rPr>
        <w:t>财政拨款</w:t>
      </w:r>
      <w:r>
        <w:rPr>
          <w:rFonts w:hint="eastAsia" w:ascii="华文楷体" w:hAnsi="华文楷体" w:eastAsia="华文楷体"/>
          <w:b/>
          <w:sz w:val="32"/>
          <w:szCs w:val="32"/>
        </w:rPr>
        <w:t>“三公”经费</w:t>
      </w:r>
      <w:r>
        <w:rPr>
          <w:rFonts w:hint="eastAsia" w:ascii="华文楷体" w:hAnsi="华文楷体" w:eastAsia="华文楷体"/>
          <w:b/>
          <w:sz w:val="32"/>
          <w:szCs w:val="32"/>
          <w:lang w:eastAsia="zh-CN"/>
        </w:rPr>
        <w:t>决算</w:t>
      </w:r>
      <w:r>
        <w:rPr>
          <w:rFonts w:hint="eastAsia" w:ascii="华文楷体" w:hAnsi="华文楷体" w:eastAsia="华文楷体"/>
          <w:b/>
          <w:sz w:val="32"/>
          <w:szCs w:val="32"/>
        </w:rPr>
        <w:t>情况及增减变化原因</w:t>
      </w:r>
    </w:p>
    <w:p>
      <w:pPr>
        <w:spacing w:line="600" w:lineRule="exact"/>
        <w:ind w:left="640" w:hanging="640" w:hangingChars="200"/>
        <w:rPr>
          <w:rFonts w:hint="eastAsia" w:ascii="仿宋" w:hAnsi="仿宋" w:eastAsia="仿宋" w:cs="仿宋"/>
          <w:bCs/>
          <w:sz w:val="32"/>
          <w:szCs w:val="32"/>
          <w:lang w:eastAsia="zh-CN"/>
        </w:rPr>
      </w:pPr>
      <w:r>
        <w:rPr>
          <w:rFonts w:hint="eastAsia" w:ascii="仿宋" w:hAnsi="仿宋" w:eastAsia="仿宋" w:cs="仿宋"/>
          <w:bCs/>
          <w:sz w:val="32"/>
          <w:szCs w:val="32"/>
        </w:rPr>
        <w:t xml:space="preserve">    </w:t>
      </w:r>
      <w:r>
        <w:rPr>
          <w:rFonts w:hint="eastAsia" w:ascii="仿宋" w:hAnsi="仿宋" w:eastAsia="仿宋" w:cs="仿宋"/>
          <w:bCs/>
          <w:sz w:val="32"/>
          <w:szCs w:val="32"/>
          <w:lang w:val="en-US" w:eastAsia="zh-CN"/>
        </w:rPr>
        <w:t xml:space="preserve">    本部门</w:t>
      </w:r>
      <w:r>
        <w:rPr>
          <w:rFonts w:hint="eastAsia" w:ascii="仿宋" w:hAnsi="仿宋" w:eastAsia="仿宋" w:cs="仿宋"/>
          <w:bCs/>
          <w:sz w:val="32"/>
          <w:szCs w:val="32"/>
        </w:rPr>
        <w:t>201</w:t>
      </w:r>
      <w:r>
        <w:rPr>
          <w:rFonts w:hint="eastAsia" w:ascii="仿宋" w:hAnsi="仿宋" w:eastAsia="仿宋" w:cs="仿宋"/>
          <w:bCs/>
          <w:sz w:val="32"/>
          <w:szCs w:val="32"/>
          <w:lang w:val="en-US" w:eastAsia="zh-CN"/>
        </w:rPr>
        <w:t>7</w:t>
      </w:r>
      <w:r>
        <w:rPr>
          <w:rFonts w:hint="eastAsia" w:ascii="仿宋" w:hAnsi="仿宋" w:eastAsia="仿宋" w:cs="仿宋"/>
          <w:bCs/>
          <w:sz w:val="32"/>
          <w:szCs w:val="32"/>
        </w:rPr>
        <w:t>年</w:t>
      </w:r>
      <w:r>
        <w:rPr>
          <w:rFonts w:hint="eastAsia" w:ascii="仿宋" w:hAnsi="仿宋" w:eastAsia="仿宋" w:cs="仿宋"/>
          <w:bCs/>
          <w:sz w:val="32"/>
          <w:szCs w:val="32"/>
          <w:lang w:eastAsia="zh-CN"/>
        </w:rPr>
        <w:t>度</w:t>
      </w:r>
      <w:r>
        <w:rPr>
          <w:rFonts w:hint="eastAsia" w:ascii="仿宋" w:hAnsi="仿宋" w:eastAsia="仿宋" w:cs="仿宋"/>
          <w:bCs/>
          <w:sz w:val="32"/>
          <w:szCs w:val="32"/>
        </w:rPr>
        <w:t>一般公共预算财政拨款“三公”经费</w:t>
      </w:r>
      <w:r>
        <w:rPr>
          <w:rFonts w:hint="eastAsia" w:ascii="仿宋" w:hAnsi="仿宋" w:eastAsia="仿宋" w:cs="仿宋"/>
          <w:bCs/>
          <w:sz w:val="32"/>
          <w:szCs w:val="32"/>
          <w:lang w:eastAsia="zh-CN"/>
        </w:rPr>
        <w:t>支出共计</w:t>
      </w:r>
      <w:r>
        <w:rPr>
          <w:rFonts w:hint="eastAsia" w:ascii="仿宋" w:hAnsi="仿宋" w:eastAsia="仿宋" w:cs="仿宋"/>
          <w:bCs/>
          <w:sz w:val="32"/>
          <w:szCs w:val="32"/>
          <w:lang w:val="en-US" w:eastAsia="zh-CN"/>
        </w:rPr>
        <w:t>13.22</w:t>
      </w:r>
      <w:r>
        <w:rPr>
          <w:rFonts w:hint="eastAsia" w:ascii="仿宋" w:hAnsi="仿宋" w:eastAsia="仿宋" w:cs="仿宋"/>
          <w:bCs/>
          <w:sz w:val="32"/>
          <w:szCs w:val="32"/>
        </w:rPr>
        <w:t>万元，</w:t>
      </w:r>
      <w:r>
        <w:rPr>
          <w:rFonts w:hint="eastAsia" w:ascii="仿宋" w:hAnsi="仿宋" w:eastAsia="仿宋" w:cs="仿宋"/>
          <w:bCs/>
          <w:sz w:val="32"/>
          <w:szCs w:val="32"/>
          <w:lang w:eastAsia="zh-CN"/>
        </w:rPr>
        <w:t>较年初</w:t>
      </w:r>
      <w:r>
        <w:rPr>
          <w:rFonts w:hint="eastAsia" w:ascii="仿宋" w:hAnsi="仿宋" w:eastAsia="仿宋" w:cs="仿宋"/>
          <w:bCs/>
          <w:sz w:val="32"/>
          <w:szCs w:val="32"/>
        </w:rPr>
        <w:t>预算减少</w:t>
      </w:r>
      <w:r>
        <w:rPr>
          <w:rFonts w:hint="eastAsia" w:ascii="仿宋" w:hAnsi="仿宋" w:eastAsia="仿宋" w:cs="仿宋"/>
          <w:bCs/>
          <w:sz w:val="32"/>
          <w:szCs w:val="32"/>
          <w:lang w:val="en-US" w:eastAsia="zh-CN"/>
        </w:rPr>
        <w:t>21.45</w:t>
      </w:r>
      <w:r>
        <w:rPr>
          <w:rFonts w:hint="eastAsia" w:ascii="仿宋" w:hAnsi="仿宋" w:eastAsia="仿宋" w:cs="仿宋"/>
          <w:bCs/>
          <w:sz w:val="32"/>
          <w:szCs w:val="32"/>
        </w:rPr>
        <w:t>万元，</w:t>
      </w:r>
      <w:r>
        <w:rPr>
          <w:rFonts w:hint="eastAsia" w:ascii="仿宋" w:hAnsi="仿宋" w:eastAsia="仿宋" w:cs="仿宋"/>
          <w:bCs/>
          <w:sz w:val="32"/>
          <w:szCs w:val="32"/>
          <w:lang w:eastAsia="zh-CN"/>
        </w:rPr>
        <w:t>降低</w:t>
      </w:r>
      <w:r>
        <w:rPr>
          <w:rFonts w:hint="eastAsia" w:ascii="仿宋" w:hAnsi="仿宋" w:eastAsia="仿宋" w:cs="仿宋"/>
          <w:bCs/>
          <w:sz w:val="32"/>
          <w:szCs w:val="32"/>
          <w:lang w:val="en-US" w:eastAsia="zh-CN"/>
        </w:rPr>
        <w:t>61.87%，主要原因是本部门厉行节俭节约，合理控制经费支出。</w:t>
      </w:r>
      <w:r>
        <w:rPr>
          <w:rFonts w:hint="eastAsia" w:ascii="仿宋" w:hAnsi="仿宋" w:eastAsia="仿宋" w:cs="仿宋"/>
          <w:bCs/>
          <w:sz w:val="32"/>
          <w:szCs w:val="32"/>
          <w:lang w:eastAsia="zh-CN"/>
        </w:rPr>
        <w:t>较</w:t>
      </w:r>
      <w:r>
        <w:rPr>
          <w:rFonts w:hint="eastAsia" w:ascii="仿宋" w:hAnsi="仿宋" w:eastAsia="仿宋" w:cs="仿宋"/>
          <w:bCs/>
          <w:sz w:val="32"/>
          <w:szCs w:val="32"/>
        </w:rPr>
        <w:t>201</w:t>
      </w:r>
      <w:r>
        <w:rPr>
          <w:rFonts w:hint="eastAsia" w:ascii="仿宋" w:hAnsi="仿宋" w:eastAsia="仿宋" w:cs="仿宋"/>
          <w:bCs/>
          <w:sz w:val="32"/>
          <w:szCs w:val="32"/>
          <w:lang w:val="en-US" w:eastAsia="zh-CN"/>
        </w:rPr>
        <w:t>6</w:t>
      </w:r>
      <w:r>
        <w:rPr>
          <w:rFonts w:hint="eastAsia" w:ascii="仿宋" w:hAnsi="仿宋" w:eastAsia="仿宋" w:cs="仿宋"/>
          <w:bCs/>
          <w:sz w:val="32"/>
          <w:szCs w:val="32"/>
        </w:rPr>
        <w:t>年</w:t>
      </w:r>
      <w:r>
        <w:rPr>
          <w:rFonts w:hint="eastAsia" w:ascii="仿宋" w:hAnsi="仿宋" w:eastAsia="仿宋" w:cs="仿宋"/>
          <w:bCs/>
          <w:sz w:val="32"/>
          <w:szCs w:val="32"/>
          <w:lang w:eastAsia="zh-CN"/>
        </w:rPr>
        <w:t>度</w:t>
      </w:r>
      <w:r>
        <w:rPr>
          <w:rFonts w:hint="eastAsia" w:ascii="仿宋" w:hAnsi="仿宋" w:eastAsia="仿宋" w:cs="仿宋"/>
          <w:bCs/>
          <w:sz w:val="32"/>
          <w:szCs w:val="32"/>
        </w:rPr>
        <w:t>决算</w:t>
      </w:r>
      <w:r>
        <w:rPr>
          <w:rFonts w:hint="eastAsia" w:ascii="仿宋" w:hAnsi="仿宋" w:eastAsia="仿宋" w:cs="仿宋"/>
          <w:bCs/>
          <w:sz w:val="32"/>
          <w:szCs w:val="32"/>
          <w:lang w:eastAsia="zh-CN"/>
        </w:rPr>
        <w:t>减少</w:t>
      </w:r>
      <w:r>
        <w:rPr>
          <w:rFonts w:hint="eastAsia" w:ascii="仿宋" w:hAnsi="仿宋" w:eastAsia="仿宋" w:cs="仿宋"/>
          <w:bCs/>
          <w:sz w:val="32"/>
          <w:szCs w:val="32"/>
          <w:lang w:val="en-US" w:eastAsia="zh-CN"/>
        </w:rPr>
        <w:t>3.17</w:t>
      </w:r>
      <w:r>
        <w:rPr>
          <w:rFonts w:hint="eastAsia" w:ascii="仿宋" w:hAnsi="仿宋" w:eastAsia="仿宋" w:cs="仿宋"/>
          <w:bCs/>
          <w:sz w:val="32"/>
          <w:szCs w:val="32"/>
        </w:rPr>
        <w:t>万元</w:t>
      </w:r>
      <w:r>
        <w:rPr>
          <w:rFonts w:hint="eastAsia" w:ascii="仿宋" w:hAnsi="仿宋" w:eastAsia="仿宋" w:cs="仿宋"/>
          <w:bCs/>
          <w:sz w:val="32"/>
          <w:szCs w:val="32"/>
          <w:lang w:eastAsia="zh-CN"/>
        </w:rPr>
        <w:t>，降低</w:t>
      </w:r>
      <w:r>
        <w:rPr>
          <w:rFonts w:hint="eastAsia" w:ascii="仿宋" w:hAnsi="仿宋" w:eastAsia="仿宋" w:cs="仿宋"/>
          <w:bCs/>
          <w:sz w:val="32"/>
          <w:szCs w:val="32"/>
          <w:lang w:val="en-US" w:eastAsia="zh-CN"/>
        </w:rPr>
        <w:t>19.34%，主要原因是本部门厉行节俭节约，合理控制经费支出</w:t>
      </w:r>
      <w:r>
        <w:rPr>
          <w:rFonts w:hint="eastAsia" w:ascii="仿宋" w:hAnsi="仿宋" w:eastAsia="仿宋" w:cs="仿宋"/>
          <w:bCs/>
          <w:sz w:val="32"/>
          <w:szCs w:val="32"/>
        </w:rPr>
        <w:t>。</w:t>
      </w:r>
      <w:r>
        <w:rPr>
          <w:rFonts w:hint="eastAsia" w:ascii="仿宋" w:hAnsi="仿宋" w:eastAsia="仿宋" w:cs="仿宋"/>
          <w:bCs/>
          <w:sz w:val="32"/>
          <w:szCs w:val="32"/>
          <w:lang w:eastAsia="zh-CN"/>
        </w:rPr>
        <w:t>具体情况如下：</w:t>
      </w:r>
    </w:p>
    <w:p>
      <w:pPr>
        <w:numPr>
          <w:ilvl w:val="0"/>
          <w:numId w:val="1"/>
        </w:numPr>
        <w:spacing w:line="600" w:lineRule="exact"/>
        <w:ind w:left="638" w:leftChars="304" w:firstLine="640" w:firstLineChars="200"/>
        <w:rPr>
          <w:rFonts w:hint="eastAsia" w:ascii="仿宋" w:hAnsi="仿宋" w:eastAsia="仿宋" w:cs="仿宋"/>
          <w:bCs/>
          <w:sz w:val="32"/>
          <w:szCs w:val="32"/>
          <w:lang w:eastAsia="zh-CN"/>
        </w:rPr>
      </w:pPr>
      <w:r>
        <w:rPr>
          <w:rFonts w:hint="eastAsia" w:ascii="仿宋" w:hAnsi="仿宋" w:eastAsia="仿宋" w:cs="仿宋"/>
          <w:bCs/>
          <w:sz w:val="32"/>
          <w:szCs w:val="32"/>
        </w:rPr>
        <w:t>因公出国（境）费0万元，（本单位201</w:t>
      </w:r>
      <w:r>
        <w:rPr>
          <w:rFonts w:hint="eastAsia" w:ascii="仿宋" w:hAnsi="仿宋" w:eastAsia="仿宋" w:cs="仿宋"/>
          <w:bCs/>
          <w:sz w:val="32"/>
          <w:szCs w:val="32"/>
          <w:lang w:val="en-US" w:eastAsia="zh-CN"/>
        </w:rPr>
        <w:t>7</w:t>
      </w:r>
      <w:r>
        <w:rPr>
          <w:rFonts w:hint="eastAsia" w:ascii="仿宋" w:hAnsi="仿宋" w:eastAsia="仿宋" w:cs="仿宋"/>
          <w:bCs/>
          <w:sz w:val="32"/>
          <w:szCs w:val="32"/>
        </w:rPr>
        <w:t>年度组织出国（境）团组0个，因公出国（境）人次数0人），与</w:t>
      </w:r>
      <w:r>
        <w:rPr>
          <w:rFonts w:hint="eastAsia" w:ascii="仿宋" w:hAnsi="仿宋" w:eastAsia="仿宋" w:cs="仿宋"/>
          <w:bCs/>
          <w:sz w:val="32"/>
          <w:szCs w:val="32"/>
          <w:lang w:eastAsia="zh-CN"/>
        </w:rPr>
        <w:t>年初</w:t>
      </w:r>
      <w:r>
        <w:rPr>
          <w:rFonts w:hint="eastAsia" w:ascii="仿宋" w:hAnsi="仿宋" w:eastAsia="仿宋" w:cs="仿宋"/>
          <w:bCs/>
          <w:sz w:val="32"/>
          <w:szCs w:val="32"/>
        </w:rPr>
        <w:t>预算</w:t>
      </w:r>
      <w:r>
        <w:rPr>
          <w:rFonts w:hint="eastAsia" w:ascii="仿宋" w:hAnsi="仿宋" w:eastAsia="仿宋" w:cs="仿宋"/>
          <w:bCs/>
          <w:sz w:val="32"/>
          <w:szCs w:val="32"/>
          <w:lang w:eastAsia="zh-CN"/>
        </w:rPr>
        <w:t>数持平</w:t>
      </w:r>
      <w:r>
        <w:rPr>
          <w:rFonts w:hint="eastAsia" w:ascii="仿宋" w:hAnsi="仿宋" w:eastAsia="仿宋" w:cs="仿宋"/>
          <w:bCs/>
          <w:sz w:val="32"/>
          <w:szCs w:val="32"/>
        </w:rPr>
        <w:t>，与201</w:t>
      </w:r>
      <w:r>
        <w:rPr>
          <w:rFonts w:hint="eastAsia" w:ascii="仿宋" w:hAnsi="仿宋" w:eastAsia="仿宋" w:cs="仿宋"/>
          <w:bCs/>
          <w:sz w:val="32"/>
          <w:szCs w:val="32"/>
          <w:lang w:val="en-US" w:eastAsia="zh-CN"/>
        </w:rPr>
        <w:t>6</w:t>
      </w:r>
      <w:r>
        <w:rPr>
          <w:rFonts w:hint="eastAsia" w:ascii="仿宋" w:hAnsi="仿宋" w:eastAsia="仿宋" w:cs="仿宋"/>
          <w:bCs/>
          <w:sz w:val="32"/>
          <w:szCs w:val="32"/>
        </w:rPr>
        <w:t>年</w:t>
      </w:r>
      <w:r>
        <w:rPr>
          <w:rFonts w:hint="eastAsia" w:ascii="仿宋" w:hAnsi="仿宋" w:eastAsia="仿宋" w:cs="仿宋"/>
          <w:bCs/>
          <w:sz w:val="32"/>
          <w:szCs w:val="32"/>
          <w:lang w:eastAsia="zh-CN"/>
        </w:rPr>
        <w:t>度决算数持平</w:t>
      </w:r>
      <w:r>
        <w:rPr>
          <w:rFonts w:hint="eastAsia" w:ascii="仿宋" w:hAnsi="仿宋" w:eastAsia="仿宋" w:cs="仿宋"/>
          <w:bCs/>
          <w:sz w:val="32"/>
          <w:szCs w:val="32"/>
        </w:rPr>
        <w:t>。</w:t>
      </w:r>
      <w:r>
        <w:rPr>
          <w:rFonts w:hint="eastAsia" w:ascii="仿宋" w:hAnsi="仿宋" w:eastAsia="仿宋" w:cs="仿宋"/>
          <w:bCs/>
          <w:sz w:val="32"/>
          <w:szCs w:val="32"/>
          <w:lang w:eastAsia="zh-CN"/>
        </w:rPr>
        <w:t>主要</w:t>
      </w:r>
      <w:r>
        <w:rPr>
          <w:rFonts w:hint="eastAsia" w:ascii="仿宋" w:hAnsi="仿宋" w:eastAsia="仿宋" w:cs="仿宋"/>
          <w:bCs/>
          <w:sz w:val="32"/>
          <w:szCs w:val="32"/>
        </w:rPr>
        <w:t>原因是本部门无因公出国（境）事务</w:t>
      </w:r>
      <w:r>
        <w:rPr>
          <w:rFonts w:hint="eastAsia" w:ascii="仿宋" w:hAnsi="仿宋" w:eastAsia="仿宋" w:cs="仿宋"/>
          <w:bCs/>
          <w:sz w:val="32"/>
          <w:szCs w:val="32"/>
          <w:lang w:eastAsia="zh-CN"/>
        </w:rPr>
        <w:t>。</w:t>
      </w:r>
    </w:p>
    <w:p>
      <w:pPr>
        <w:numPr>
          <w:ilvl w:val="0"/>
          <w:numId w:val="1"/>
        </w:numPr>
        <w:spacing w:line="600" w:lineRule="exact"/>
        <w:ind w:left="638" w:leftChars="304" w:firstLine="640" w:firstLineChars="200"/>
        <w:rPr>
          <w:rFonts w:hint="eastAsia" w:ascii="仿宋" w:hAnsi="仿宋" w:eastAsia="仿宋" w:cs="仿宋"/>
          <w:bCs/>
          <w:sz w:val="32"/>
          <w:szCs w:val="32"/>
        </w:rPr>
      </w:pPr>
      <w:r>
        <w:rPr>
          <w:rFonts w:hint="eastAsia" w:ascii="仿宋" w:hAnsi="仿宋" w:eastAsia="仿宋" w:cs="仿宋"/>
          <w:bCs/>
          <w:sz w:val="32"/>
          <w:szCs w:val="32"/>
        </w:rPr>
        <w:t>公务用车购置及运行维护费</w:t>
      </w:r>
      <w:r>
        <w:rPr>
          <w:rFonts w:hint="eastAsia" w:ascii="仿宋" w:hAnsi="仿宋" w:eastAsia="仿宋" w:cs="仿宋"/>
          <w:bCs/>
          <w:sz w:val="32"/>
          <w:szCs w:val="32"/>
          <w:lang w:val="en-US" w:eastAsia="zh-CN"/>
        </w:rPr>
        <w:t>11.85</w:t>
      </w:r>
      <w:r>
        <w:rPr>
          <w:rFonts w:hint="eastAsia" w:ascii="仿宋" w:hAnsi="仿宋" w:eastAsia="仿宋" w:cs="仿宋"/>
          <w:bCs/>
          <w:sz w:val="32"/>
          <w:szCs w:val="32"/>
        </w:rPr>
        <w:t>万元，（公务用车购置数量0辆，购置金额0万元，公务运行维护费</w:t>
      </w:r>
      <w:r>
        <w:rPr>
          <w:rFonts w:hint="eastAsia" w:ascii="仿宋" w:hAnsi="仿宋" w:eastAsia="仿宋" w:cs="仿宋"/>
          <w:bCs/>
          <w:sz w:val="32"/>
          <w:szCs w:val="32"/>
          <w:lang w:val="en-US" w:eastAsia="zh-CN"/>
        </w:rPr>
        <w:t>11.85</w:t>
      </w:r>
      <w:r>
        <w:rPr>
          <w:rFonts w:hint="eastAsia" w:ascii="仿宋" w:hAnsi="仿宋" w:eastAsia="仿宋" w:cs="仿宋"/>
          <w:bCs/>
          <w:sz w:val="32"/>
          <w:szCs w:val="32"/>
        </w:rPr>
        <w:t>万元，年末公务用车保有量5辆），</w:t>
      </w:r>
      <w:r>
        <w:rPr>
          <w:rFonts w:hint="eastAsia" w:ascii="仿宋" w:hAnsi="仿宋" w:eastAsia="仿宋" w:cs="仿宋"/>
          <w:bCs/>
          <w:sz w:val="32"/>
          <w:szCs w:val="32"/>
          <w:lang w:eastAsia="zh-CN"/>
        </w:rPr>
        <w:t>较年初</w:t>
      </w:r>
      <w:r>
        <w:rPr>
          <w:rFonts w:hint="eastAsia" w:ascii="仿宋" w:hAnsi="仿宋" w:eastAsia="仿宋" w:cs="仿宋"/>
          <w:bCs/>
          <w:sz w:val="32"/>
          <w:szCs w:val="32"/>
        </w:rPr>
        <w:t>预算减少</w:t>
      </w:r>
      <w:r>
        <w:rPr>
          <w:rFonts w:hint="eastAsia" w:ascii="仿宋" w:hAnsi="仿宋" w:eastAsia="仿宋" w:cs="仿宋"/>
          <w:bCs/>
          <w:sz w:val="32"/>
          <w:szCs w:val="32"/>
          <w:lang w:val="en-US" w:eastAsia="zh-CN"/>
        </w:rPr>
        <w:t>20.15</w:t>
      </w:r>
      <w:r>
        <w:rPr>
          <w:rFonts w:hint="eastAsia" w:ascii="仿宋" w:hAnsi="仿宋" w:eastAsia="仿宋" w:cs="仿宋"/>
          <w:bCs/>
          <w:sz w:val="32"/>
          <w:szCs w:val="32"/>
        </w:rPr>
        <w:t>万元，</w:t>
      </w:r>
      <w:r>
        <w:rPr>
          <w:rFonts w:hint="eastAsia" w:ascii="仿宋" w:hAnsi="仿宋" w:eastAsia="仿宋" w:cs="仿宋"/>
          <w:bCs/>
          <w:sz w:val="32"/>
          <w:szCs w:val="32"/>
          <w:lang w:eastAsia="zh-CN"/>
        </w:rPr>
        <w:t>降低</w:t>
      </w:r>
      <w:r>
        <w:rPr>
          <w:rFonts w:hint="eastAsia" w:ascii="仿宋" w:hAnsi="仿宋" w:eastAsia="仿宋" w:cs="仿宋"/>
          <w:bCs/>
          <w:sz w:val="32"/>
          <w:szCs w:val="32"/>
          <w:lang w:val="en-US" w:eastAsia="zh-CN"/>
        </w:rPr>
        <w:t>60.38%，</w:t>
      </w:r>
      <w:r>
        <w:rPr>
          <w:rFonts w:hint="eastAsia" w:ascii="仿宋" w:hAnsi="仿宋" w:eastAsia="仿宋" w:cs="仿宋"/>
          <w:bCs/>
          <w:sz w:val="32"/>
          <w:szCs w:val="32"/>
          <w:lang w:eastAsia="zh-CN"/>
        </w:rPr>
        <w:t>较</w:t>
      </w:r>
      <w:r>
        <w:rPr>
          <w:rFonts w:hint="eastAsia" w:ascii="仿宋" w:hAnsi="仿宋" w:eastAsia="仿宋" w:cs="仿宋"/>
          <w:bCs/>
          <w:sz w:val="32"/>
          <w:szCs w:val="32"/>
        </w:rPr>
        <w:t>201</w:t>
      </w:r>
      <w:r>
        <w:rPr>
          <w:rFonts w:hint="eastAsia" w:ascii="仿宋" w:hAnsi="仿宋" w:eastAsia="仿宋" w:cs="仿宋"/>
          <w:bCs/>
          <w:sz w:val="32"/>
          <w:szCs w:val="32"/>
          <w:lang w:val="en-US" w:eastAsia="zh-CN"/>
        </w:rPr>
        <w:t>6</w:t>
      </w:r>
      <w:r>
        <w:rPr>
          <w:rFonts w:hint="eastAsia" w:ascii="仿宋" w:hAnsi="仿宋" w:eastAsia="仿宋" w:cs="仿宋"/>
          <w:bCs/>
          <w:sz w:val="32"/>
          <w:szCs w:val="32"/>
        </w:rPr>
        <w:t>年度决算</w:t>
      </w:r>
      <w:r>
        <w:rPr>
          <w:rFonts w:hint="eastAsia" w:ascii="仿宋" w:hAnsi="仿宋" w:eastAsia="仿宋" w:cs="仿宋"/>
          <w:bCs/>
          <w:sz w:val="32"/>
          <w:szCs w:val="32"/>
          <w:lang w:eastAsia="zh-CN"/>
        </w:rPr>
        <w:t>减少</w:t>
      </w:r>
      <w:r>
        <w:rPr>
          <w:rFonts w:hint="eastAsia" w:ascii="仿宋" w:hAnsi="仿宋" w:eastAsia="仿宋" w:cs="仿宋"/>
          <w:bCs/>
          <w:sz w:val="32"/>
          <w:szCs w:val="32"/>
          <w:lang w:val="en-US" w:eastAsia="zh-CN"/>
        </w:rPr>
        <w:t>3.92</w:t>
      </w:r>
      <w:r>
        <w:rPr>
          <w:rFonts w:hint="eastAsia" w:ascii="仿宋" w:hAnsi="仿宋" w:eastAsia="仿宋" w:cs="仿宋"/>
          <w:bCs/>
          <w:sz w:val="32"/>
          <w:szCs w:val="32"/>
        </w:rPr>
        <w:t>万元，</w:t>
      </w:r>
      <w:r>
        <w:rPr>
          <w:rFonts w:hint="eastAsia" w:ascii="仿宋" w:hAnsi="仿宋" w:eastAsia="仿宋" w:cs="仿宋"/>
          <w:bCs/>
          <w:sz w:val="32"/>
          <w:szCs w:val="32"/>
          <w:lang w:eastAsia="zh-CN"/>
        </w:rPr>
        <w:t>降低</w:t>
      </w:r>
      <w:r>
        <w:rPr>
          <w:rFonts w:hint="eastAsia" w:ascii="仿宋" w:hAnsi="仿宋" w:eastAsia="仿宋" w:cs="仿宋"/>
          <w:bCs/>
          <w:sz w:val="32"/>
          <w:szCs w:val="32"/>
          <w:lang w:val="en-US" w:eastAsia="zh-CN"/>
        </w:rPr>
        <w:t>22.87%，主要</w:t>
      </w:r>
      <w:r>
        <w:rPr>
          <w:rFonts w:hint="eastAsia" w:ascii="仿宋" w:hAnsi="仿宋" w:eastAsia="仿宋" w:cs="仿宋"/>
          <w:bCs/>
          <w:sz w:val="32"/>
          <w:szCs w:val="32"/>
        </w:rPr>
        <w:t>原因是</w:t>
      </w:r>
      <w:r>
        <w:rPr>
          <w:rFonts w:hint="eastAsia" w:ascii="仿宋" w:hAnsi="仿宋" w:eastAsia="仿宋" w:cs="仿宋"/>
          <w:bCs/>
          <w:sz w:val="32"/>
          <w:szCs w:val="32"/>
          <w:lang w:eastAsia="zh-CN"/>
        </w:rPr>
        <w:t>我部门厉行节俭节约，尽量减少公车使用。</w:t>
      </w:r>
    </w:p>
    <w:p>
      <w:pPr>
        <w:numPr>
          <w:ilvl w:val="0"/>
          <w:numId w:val="1"/>
        </w:numPr>
        <w:spacing w:line="600" w:lineRule="exact"/>
        <w:ind w:left="638" w:leftChars="304" w:firstLine="640" w:firstLineChars="200"/>
        <w:rPr>
          <w:rFonts w:hint="eastAsia" w:ascii="仿宋" w:hAnsi="仿宋" w:eastAsia="仿宋" w:cs="仿宋"/>
          <w:bCs/>
          <w:sz w:val="32"/>
          <w:szCs w:val="32"/>
        </w:rPr>
      </w:pPr>
      <w:r>
        <w:rPr>
          <w:rFonts w:hint="eastAsia" w:ascii="仿宋" w:hAnsi="仿宋" w:eastAsia="仿宋" w:cs="仿宋"/>
          <w:bCs/>
          <w:sz w:val="32"/>
          <w:szCs w:val="32"/>
        </w:rPr>
        <w:t>201</w:t>
      </w:r>
      <w:r>
        <w:rPr>
          <w:rFonts w:hint="eastAsia" w:ascii="仿宋" w:hAnsi="仿宋" w:eastAsia="仿宋" w:cs="仿宋"/>
          <w:bCs/>
          <w:sz w:val="32"/>
          <w:szCs w:val="32"/>
          <w:lang w:val="en-US" w:eastAsia="zh-CN"/>
        </w:rPr>
        <w:t>7</w:t>
      </w:r>
      <w:r>
        <w:rPr>
          <w:rFonts w:hint="eastAsia" w:ascii="仿宋" w:hAnsi="仿宋" w:eastAsia="仿宋" w:cs="仿宋"/>
          <w:bCs/>
          <w:sz w:val="32"/>
          <w:szCs w:val="32"/>
        </w:rPr>
        <w:t xml:space="preserve"> 年</w:t>
      </w:r>
      <w:r>
        <w:rPr>
          <w:rFonts w:hint="eastAsia" w:ascii="仿宋" w:hAnsi="仿宋" w:eastAsia="仿宋" w:cs="仿宋"/>
          <w:bCs/>
          <w:sz w:val="32"/>
          <w:szCs w:val="32"/>
          <w:lang w:eastAsia="zh-CN"/>
        </w:rPr>
        <w:t>度</w:t>
      </w:r>
      <w:r>
        <w:rPr>
          <w:rFonts w:hint="eastAsia" w:ascii="仿宋" w:hAnsi="仿宋" w:eastAsia="仿宋" w:cs="仿宋"/>
          <w:bCs/>
          <w:sz w:val="32"/>
          <w:szCs w:val="32"/>
        </w:rPr>
        <w:t>公务接待费</w:t>
      </w:r>
      <w:r>
        <w:rPr>
          <w:rFonts w:hint="eastAsia" w:ascii="仿宋" w:hAnsi="仿宋" w:eastAsia="仿宋" w:cs="仿宋"/>
          <w:bCs/>
          <w:sz w:val="32"/>
          <w:szCs w:val="32"/>
          <w:lang w:val="en-US" w:eastAsia="zh-CN"/>
        </w:rPr>
        <w:t>1.37</w:t>
      </w:r>
      <w:r>
        <w:rPr>
          <w:rFonts w:hint="eastAsia" w:ascii="仿宋" w:hAnsi="仿宋" w:eastAsia="仿宋" w:cs="仿宋"/>
          <w:bCs/>
          <w:sz w:val="32"/>
          <w:szCs w:val="32"/>
        </w:rPr>
        <w:t>万元（201</w:t>
      </w:r>
      <w:r>
        <w:rPr>
          <w:rFonts w:hint="eastAsia" w:ascii="仿宋" w:hAnsi="仿宋" w:eastAsia="仿宋" w:cs="仿宋"/>
          <w:bCs/>
          <w:sz w:val="32"/>
          <w:szCs w:val="32"/>
          <w:lang w:val="en-US" w:eastAsia="zh-CN"/>
        </w:rPr>
        <w:t>7</w:t>
      </w:r>
      <w:r>
        <w:rPr>
          <w:rFonts w:hint="eastAsia" w:ascii="仿宋" w:hAnsi="仿宋" w:eastAsia="仿宋" w:cs="仿宋"/>
          <w:bCs/>
          <w:sz w:val="32"/>
          <w:szCs w:val="32"/>
        </w:rPr>
        <w:t>年度国内公务接待2</w:t>
      </w:r>
      <w:r>
        <w:rPr>
          <w:rFonts w:hint="eastAsia" w:ascii="仿宋" w:hAnsi="仿宋" w:eastAsia="仿宋" w:cs="仿宋"/>
          <w:bCs/>
          <w:sz w:val="32"/>
          <w:szCs w:val="32"/>
          <w:lang w:val="en-US" w:eastAsia="zh-CN"/>
        </w:rPr>
        <w:t>4</w:t>
      </w:r>
      <w:r>
        <w:rPr>
          <w:rFonts w:hint="eastAsia" w:ascii="仿宋" w:hAnsi="仿宋" w:eastAsia="仿宋" w:cs="仿宋"/>
          <w:bCs/>
          <w:sz w:val="32"/>
          <w:szCs w:val="32"/>
        </w:rPr>
        <w:t>批次，合计接待</w:t>
      </w:r>
      <w:r>
        <w:rPr>
          <w:rFonts w:hint="eastAsia" w:ascii="仿宋" w:hAnsi="仿宋" w:eastAsia="仿宋" w:cs="仿宋"/>
          <w:bCs/>
          <w:sz w:val="32"/>
          <w:szCs w:val="32"/>
          <w:lang w:val="en-US" w:eastAsia="zh-CN"/>
        </w:rPr>
        <w:t>1</w:t>
      </w:r>
      <w:r>
        <w:rPr>
          <w:rFonts w:hint="eastAsia" w:ascii="仿宋" w:hAnsi="仿宋" w:eastAsia="仿宋" w:cs="仿宋"/>
          <w:bCs/>
          <w:sz w:val="32"/>
          <w:szCs w:val="32"/>
        </w:rPr>
        <w:t>80人次），</w:t>
      </w:r>
      <w:r>
        <w:rPr>
          <w:rFonts w:hint="eastAsia" w:ascii="仿宋" w:hAnsi="仿宋" w:eastAsia="仿宋" w:cs="仿宋"/>
          <w:bCs/>
          <w:sz w:val="32"/>
          <w:szCs w:val="32"/>
          <w:lang w:eastAsia="zh-CN"/>
        </w:rPr>
        <w:t>较年初</w:t>
      </w:r>
      <w:r>
        <w:rPr>
          <w:rFonts w:hint="eastAsia" w:ascii="仿宋" w:hAnsi="仿宋" w:eastAsia="仿宋" w:cs="仿宋"/>
          <w:bCs/>
          <w:sz w:val="32"/>
          <w:szCs w:val="32"/>
        </w:rPr>
        <w:t>预算减少</w:t>
      </w:r>
      <w:r>
        <w:rPr>
          <w:rFonts w:hint="eastAsia" w:ascii="仿宋" w:hAnsi="仿宋" w:eastAsia="仿宋" w:cs="仿宋"/>
          <w:bCs/>
          <w:sz w:val="32"/>
          <w:szCs w:val="32"/>
          <w:lang w:val="en-US" w:eastAsia="zh-CN"/>
        </w:rPr>
        <w:t>1.3</w:t>
      </w:r>
      <w:r>
        <w:rPr>
          <w:rFonts w:hint="eastAsia" w:ascii="仿宋" w:hAnsi="仿宋" w:eastAsia="仿宋" w:cs="仿宋"/>
          <w:bCs/>
          <w:sz w:val="32"/>
          <w:szCs w:val="32"/>
        </w:rPr>
        <w:t>万元，</w:t>
      </w:r>
      <w:r>
        <w:rPr>
          <w:rFonts w:hint="eastAsia" w:ascii="仿宋" w:hAnsi="仿宋" w:eastAsia="仿宋" w:cs="仿宋"/>
          <w:bCs/>
          <w:sz w:val="32"/>
          <w:szCs w:val="32"/>
          <w:lang w:eastAsia="zh-CN"/>
        </w:rPr>
        <w:t>降低</w:t>
      </w:r>
      <w:r>
        <w:rPr>
          <w:rFonts w:hint="eastAsia" w:ascii="仿宋" w:hAnsi="仿宋" w:eastAsia="仿宋" w:cs="仿宋"/>
          <w:bCs/>
          <w:sz w:val="32"/>
          <w:szCs w:val="32"/>
          <w:lang w:val="en-US" w:eastAsia="zh-CN"/>
        </w:rPr>
        <w:t>48.69%，主要原因是</w:t>
      </w:r>
      <w:r>
        <w:rPr>
          <w:rFonts w:hint="eastAsia" w:ascii="仿宋" w:hAnsi="仿宋" w:eastAsia="仿宋" w:cs="仿宋"/>
          <w:bCs/>
          <w:sz w:val="32"/>
          <w:szCs w:val="32"/>
        </w:rPr>
        <w:t>201</w:t>
      </w:r>
      <w:r>
        <w:rPr>
          <w:rFonts w:hint="eastAsia" w:ascii="仿宋" w:hAnsi="仿宋" w:eastAsia="仿宋" w:cs="仿宋"/>
          <w:bCs/>
          <w:sz w:val="32"/>
          <w:szCs w:val="32"/>
          <w:lang w:val="en-US" w:eastAsia="zh-CN"/>
        </w:rPr>
        <w:t>7</w:t>
      </w:r>
      <w:r>
        <w:rPr>
          <w:rFonts w:hint="eastAsia" w:ascii="仿宋" w:hAnsi="仿宋" w:eastAsia="仿宋" w:cs="仿宋"/>
          <w:bCs/>
          <w:sz w:val="32"/>
          <w:szCs w:val="32"/>
        </w:rPr>
        <w:t>年度全县医疗保险实现市级统筹，对接上级各项政策和检查指导</w:t>
      </w:r>
      <w:r>
        <w:rPr>
          <w:rFonts w:hint="eastAsia" w:ascii="仿宋" w:hAnsi="仿宋" w:eastAsia="仿宋" w:cs="仿宋"/>
          <w:bCs/>
          <w:sz w:val="32"/>
          <w:szCs w:val="32"/>
          <w:lang w:eastAsia="zh-CN"/>
        </w:rPr>
        <w:t>减少，部门接待上级各业务检查均有所减少</w:t>
      </w:r>
      <w:r>
        <w:rPr>
          <w:rFonts w:hint="eastAsia" w:ascii="仿宋" w:hAnsi="仿宋" w:eastAsia="仿宋" w:cs="仿宋"/>
          <w:bCs/>
          <w:sz w:val="32"/>
          <w:szCs w:val="32"/>
        </w:rPr>
        <w:t>。</w:t>
      </w:r>
      <w:r>
        <w:rPr>
          <w:rFonts w:hint="eastAsia" w:ascii="仿宋" w:hAnsi="仿宋" w:eastAsia="仿宋" w:cs="仿宋"/>
          <w:bCs/>
          <w:sz w:val="32"/>
          <w:szCs w:val="32"/>
          <w:lang w:eastAsia="zh-CN"/>
        </w:rPr>
        <w:t>较</w:t>
      </w:r>
      <w:r>
        <w:rPr>
          <w:rFonts w:hint="eastAsia" w:ascii="仿宋" w:hAnsi="仿宋" w:eastAsia="仿宋" w:cs="仿宋"/>
          <w:bCs/>
          <w:sz w:val="32"/>
          <w:szCs w:val="32"/>
        </w:rPr>
        <w:t>201</w:t>
      </w:r>
      <w:r>
        <w:rPr>
          <w:rFonts w:hint="eastAsia" w:ascii="仿宋" w:hAnsi="仿宋" w:eastAsia="仿宋" w:cs="仿宋"/>
          <w:bCs/>
          <w:sz w:val="32"/>
          <w:szCs w:val="32"/>
          <w:lang w:val="en-US" w:eastAsia="zh-CN"/>
        </w:rPr>
        <w:t>6</w:t>
      </w:r>
      <w:r>
        <w:rPr>
          <w:rFonts w:hint="eastAsia" w:ascii="仿宋" w:hAnsi="仿宋" w:eastAsia="仿宋" w:cs="仿宋"/>
          <w:bCs/>
          <w:sz w:val="32"/>
          <w:szCs w:val="32"/>
        </w:rPr>
        <w:t>年度决算增加</w:t>
      </w:r>
      <w:r>
        <w:rPr>
          <w:rFonts w:hint="eastAsia" w:ascii="仿宋" w:hAnsi="仿宋" w:eastAsia="仿宋" w:cs="仿宋"/>
          <w:bCs/>
          <w:sz w:val="32"/>
          <w:szCs w:val="32"/>
          <w:lang w:val="en-US" w:eastAsia="zh-CN"/>
        </w:rPr>
        <w:t>0.75</w:t>
      </w:r>
      <w:r>
        <w:rPr>
          <w:rFonts w:hint="eastAsia" w:ascii="仿宋" w:hAnsi="仿宋" w:eastAsia="仿宋" w:cs="仿宋"/>
          <w:bCs/>
          <w:sz w:val="32"/>
          <w:szCs w:val="32"/>
        </w:rPr>
        <w:t>万元，</w:t>
      </w:r>
      <w:r>
        <w:rPr>
          <w:rFonts w:hint="eastAsia" w:ascii="仿宋" w:hAnsi="仿宋" w:eastAsia="仿宋" w:cs="仿宋"/>
          <w:bCs/>
          <w:sz w:val="32"/>
          <w:szCs w:val="32"/>
          <w:lang w:eastAsia="zh-CN"/>
        </w:rPr>
        <w:t>增长</w:t>
      </w:r>
      <w:r>
        <w:rPr>
          <w:rFonts w:hint="eastAsia" w:ascii="仿宋" w:hAnsi="仿宋" w:eastAsia="仿宋" w:cs="仿宋"/>
          <w:bCs/>
          <w:sz w:val="32"/>
          <w:szCs w:val="32"/>
          <w:lang w:val="en-US" w:eastAsia="zh-CN"/>
        </w:rPr>
        <w:t>120.97%，主要</w:t>
      </w:r>
      <w:r>
        <w:rPr>
          <w:rFonts w:hint="eastAsia" w:ascii="仿宋" w:hAnsi="仿宋" w:eastAsia="仿宋" w:cs="仿宋"/>
          <w:bCs/>
          <w:sz w:val="32"/>
          <w:szCs w:val="32"/>
        </w:rPr>
        <w:t>原因是201</w:t>
      </w:r>
      <w:r>
        <w:rPr>
          <w:rFonts w:hint="eastAsia" w:ascii="仿宋" w:hAnsi="仿宋" w:eastAsia="仿宋" w:cs="仿宋"/>
          <w:bCs/>
          <w:sz w:val="32"/>
          <w:szCs w:val="32"/>
          <w:lang w:val="en-US" w:eastAsia="zh-CN"/>
        </w:rPr>
        <w:t>7</w:t>
      </w:r>
      <w:r>
        <w:rPr>
          <w:rFonts w:hint="eastAsia" w:ascii="仿宋" w:hAnsi="仿宋" w:eastAsia="仿宋" w:cs="仿宋"/>
          <w:bCs/>
          <w:sz w:val="32"/>
          <w:szCs w:val="32"/>
        </w:rPr>
        <w:t>年度全县医疗保险实现市级统筹，对接上级各项政策和检查指导增多</w:t>
      </w:r>
      <w:r>
        <w:rPr>
          <w:rFonts w:hint="eastAsia" w:ascii="仿宋" w:hAnsi="仿宋" w:eastAsia="仿宋" w:cs="仿宋"/>
          <w:bCs/>
          <w:sz w:val="32"/>
          <w:szCs w:val="32"/>
          <w:lang w:eastAsia="zh-CN"/>
        </w:rPr>
        <w:t>，部门接待上级各业务检查均有所增加</w:t>
      </w:r>
      <w:r>
        <w:rPr>
          <w:rFonts w:hint="eastAsia" w:ascii="仿宋" w:hAnsi="仿宋" w:eastAsia="仿宋" w:cs="仿宋"/>
          <w:bCs/>
          <w:sz w:val="32"/>
          <w:szCs w:val="32"/>
        </w:rPr>
        <w:t>。</w:t>
      </w:r>
    </w:p>
    <w:p>
      <w:pPr>
        <w:spacing w:line="600" w:lineRule="exact"/>
        <w:rPr>
          <w:rFonts w:ascii="华文楷体" w:hAnsi="华文楷体" w:eastAsia="华文楷体"/>
          <w:b/>
          <w:sz w:val="32"/>
          <w:szCs w:val="32"/>
        </w:rPr>
      </w:pPr>
      <w:r>
        <w:rPr>
          <w:rFonts w:hint="eastAsia" w:ascii="仿宋" w:hAnsi="仿宋" w:eastAsia="仿宋" w:cs="仿宋"/>
          <w:bCs/>
          <w:sz w:val="32"/>
          <w:szCs w:val="32"/>
        </w:rPr>
        <w:t xml:space="preserve">     </w:t>
      </w:r>
      <w:r>
        <w:rPr>
          <w:rFonts w:hint="eastAsia" w:ascii="仿宋" w:hAnsi="仿宋" w:eastAsia="仿宋" w:cs="仿宋"/>
          <w:bCs/>
          <w:sz w:val="32"/>
          <w:szCs w:val="32"/>
          <w:lang w:val="en-US" w:eastAsia="zh-CN"/>
        </w:rPr>
        <w:t xml:space="preserve">   </w:t>
      </w:r>
      <w:r>
        <w:rPr>
          <w:rFonts w:hint="eastAsia" w:ascii="华文楷体" w:hAnsi="华文楷体" w:eastAsia="华文楷体"/>
          <w:b/>
          <w:sz w:val="32"/>
          <w:szCs w:val="32"/>
          <w:lang w:eastAsia="zh-CN"/>
        </w:rPr>
        <w:t>六、</w:t>
      </w:r>
      <w:r>
        <w:rPr>
          <w:rFonts w:hint="eastAsia" w:ascii="华文楷体" w:hAnsi="华文楷体" w:eastAsia="华文楷体"/>
          <w:b/>
          <w:sz w:val="32"/>
          <w:szCs w:val="32"/>
        </w:rPr>
        <w:t>绩效预算信息</w:t>
      </w:r>
    </w:p>
    <w:p>
      <w:pPr>
        <w:spacing w:line="600" w:lineRule="exact"/>
        <w:ind w:firstLine="1280" w:firstLineChars="400"/>
        <w:jc w:val="left"/>
        <w:rPr>
          <w:rFonts w:hint="eastAsia" w:ascii="仿宋" w:hAnsi="仿宋" w:eastAsia="仿宋"/>
          <w:sz w:val="32"/>
          <w:szCs w:val="32"/>
        </w:rPr>
      </w:pPr>
      <w:r>
        <w:rPr>
          <w:rFonts w:hint="eastAsia" w:ascii="仿宋" w:hAnsi="仿宋" w:eastAsia="仿宋"/>
          <w:sz w:val="32"/>
          <w:szCs w:val="32"/>
          <w:lang w:val="en-US" w:eastAsia="zh-CN"/>
        </w:rPr>
        <w:t>（一）预算绩效管理工作开展情况</w:t>
      </w:r>
    </w:p>
    <w:p>
      <w:pPr>
        <w:pStyle w:val="6"/>
        <w:keepNext w:val="0"/>
        <w:keepLines w:val="0"/>
        <w:pageBreakBefore w:val="0"/>
        <w:kinsoku/>
        <w:wordWrap/>
        <w:overflowPunct/>
        <w:topLinePunct w:val="0"/>
        <w:autoSpaceDE/>
        <w:autoSpaceDN/>
        <w:bidi w:val="0"/>
        <w:adjustRightInd/>
        <w:snapToGrid/>
        <w:spacing w:beforeAutospacing="0" w:afterAutospacing="0" w:line="600" w:lineRule="exact"/>
        <w:ind w:left="638" w:leftChars="304" w:firstLine="640" w:firstLineChars="200"/>
        <w:textAlignment w:val="auto"/>
        <w:outlineLvl w:val="9"/>
        <w:rPr>
          <w:rFonts w:ascii="仿宋" w:hAnsi="仿宋" w:eastAsia="仿宋"/>
          <w:sz w:val="32"/>
          <w:szCs w:val="32"/>
        </w:rPr>
      </w:pPr>
      <w:r>
        <w:rPr>
          <w:rFonts w:hint="eastAsia" w:ascii="仿宋" w:hAnsi="仿宋" w:eastAsia="仿宋"/>
          <w:sz w:val="32"/>
          <w:szCs w:val="32"/>
        </w:rPr>
        <w:t>按照《中华人民共和国预算法》规定及《大厂回族自治县财政局关于印发深化绩效预算管理改革实施方案的通知》（〔2015〕29号）工作的相关要求，我</w:t>
      </w:r>
      <w:r>
        <w:rPr>
          <w:rFonts w:hint="eastAsia" w:ascii="仿宋" w:hAnsi="仿宋" w:eastAsia="仿宋"/>
          <w:sz w:val="32"/>
          <w:szCs w:val="32"/>
          <w:lang w:eastAsia="zh-CN"/>
        </w:rPr>
        <w:t>部门</w:t>
      </w:r>
      <w:r>
        <w:rPr>
          <w:rFonts w:hint="eastAsia" w:ascii="仿宋" w:hAnsi="仿宋" w:eastAsia="仿宋"/>
          <w:sz w:val="32"/>
          <w:szCs w:val="32"/>
        </w:rPr>
        <w:t>积极部署推进预算绩效管理工作。具体开展情况如下：</w:t>
      </w:r>
      <w:r>
        <w:rPr>
          <w:rFonts w:ascii="仿宋" w:hAnsi="仿宋" w:eastAsia="仿宋" w:cs="宋体"/>
          <w:sz w:val="32"/>
          <w:szCs w:val="32"/>
        </w:rPr>
        <w:t xml:space="preserve"> </w:t>
      </w:r>
      <w:r>
        <w:rPr>
          <w:rFonts w:hint="eastAsia" w:ascii="仿宋" w:hAnsi="仿宋" w:eastAsia="仿宋"/>
          <w:sz w:val="32"/>
          <w:szCs w:val="32"/>
        </w:rPr>
        <w:t xml:space="preserve"> 201</w:t>
      </w:r>
      <w:r>
        <w:rPr>
          <w:rFonts w:hint="eastAsia" w:ascii="仿宋" w:hAnsi="仿宋" w:eastAsia="仿宋"/>
          <w:sz w:val="32"/>
          <w:szCs w:val="32"/>
          <w:lang w:val="en-US" w:eastAsia="zh-CN"/>
        </w:rPr>
        <w:t>7</w:t>
      </w:r>
      <w:r>
        <w:rPr>
          <w:rFonts w:hint="eastAsia" w:ascii="仿宋" w:hAnsi="仿宋" w:eastAsia="仿宋"/>
          <w:sz w:val="32"/>
          <w:szCs w:val="32"/>
        </w:rPr>
        <w:t>年</w:t>
      </w:r>
      <w:r>
        <w:rPr>
          <w:rFonts w:hint="eastAsia" w:ascii="仿宋" w:hAnsi="仿宋" w:eastAsia="仿宋"/>
          <w:sz w:val="32"/>
          <w:szCs w:val="32"/>
          <w:lang w:eastAsia="zh-CN"/>
        </w:rPr>
        <w:t>度</w:t>
      </w:r>
      <w:r>
        <w:rPr>
          <w:rFonts w:hint="eastAsia" w:ascii="仿宋" w:hAnsi="仿宋" w:eastAsia="仿宋"/>
          <w:sz w:val="32"/>
          <w:szCs w:val="32"/>
        </w:rPr>
        <w:t>，大厂回族自治县人力资源和社会保障局以绩效目标实现为导向，进一步加强制度建设，提升自评质量，力争预算绩效管理取得新成效。</w:t>
      </w:r>
    </w:p>
    <w:p>
      <w:pPr>
        <w:spacing w:line="600" w:lineRule="exact"/>
        <w:rPr>
          <w:rFonts w:ascii="仿宋" w:hAnsi="仿宋" w:eastAsia="仿宋" w:cs="仿宋"/>
          <w:bCs/>
          <w:sz w:val="32"/>
          <w:szCs w:val="32"/>
        </w:rPr>
      </w:pPr>
      <w:r>
        <w:rPr>
          <w:rFonts w:hint="eastAsia" w:ascii="仿宋" w:hAnsi="仿宋" w:eastAsia="仿宋" w:cs="仿宋"/>
          <w:b/>
          <w:bCs/>
          <w:sz w:val="32"/>
          <w:szCs w:val="32"/>
        </w:rPr>
        <w:t xml:space="preserve">   </w:t>
      </w:r>
      <w:r>
        <w:rPr>
          <w:rFonts w:hint="eastAsia" w:ascii="仿宋" w:hAnsi="仿宋" w:eastAsia="仿宋" w:cs="仿宋"/>
          <w:bCs/>
          <w:sz w:val="32"/>
          <w:szCs w:val="32"/>
        </w:rPr>
        <w:t xml:space="preserve">    </w:t>
      </w:r>
      <w:r>
        <w:rPr>
          <w:rFonts w:hint="eastAsia" w:ascii="仿宋" w:hAnsi="仿宋" w:eastAsia="仿宋" w:cs="仿宋"/>
          <w:bCs/>
          <w:sz w:val="32"/>
          <w:szCs w:val="32"/>
          <w:lang w:val="en-US" w:eastAsia="zh-CN"/>
        </w:rPr>
        <w:t>（二）</w:t>
      </w:r>
      <w:r>
        <w:rPr>
          <w:rFonts w:hint="eastAsia" w:ascii="仿宋" w:hAnsi="仿宋" w:eastAsia="仿宋" w:cs="仿宋"/>
          <w:bCs/>
          <w:sz w:val="32"/>
          <w:szCs w:val="32"/>
        </w:rPr>
        <w:t>预算</w:t>
      </w:r>
      <w:r>
        <w:rPr>
          <w:rFonts w:hint="eastAsia" w:ascii="仿宋" w:hAnsi="仿宋" w:eastAsia="仿宋" w:cs="仿宋"/>
          <w:bCs/>
          <w:sz w:val="32"/>
          <w:szCs w:val="32"/>
          <w:lang w:eastAsia="zh-CN"/>
        </w:rPr>
        <w:t>项目</w:t>
      </w:r>
      <w:r>
        <w:rPr>
          <w:rFonts w:hint="eastAsia" w:ascii="仿宋" w:hAnsi="仿宋" w:eastAsia="仿宋" w:cs="仿宋"/>
          <w:bCs/>
          <w:sz w:val="32"/>
          <w:szCs w:val="32"/>
        </w:rPr>
        <w:t>绩效</w:t>
      </w:r>
      <w:r>
        <w:rPr>
          <w:rFonts w:hint="eastAsia" w:ascii="仿宋" w:hAnsi="仿宋" w:eastAsia="仿宋" w:cs="仿宋"/>
          <w:bCs/>
          <w:sz w:val="32"/>
          <w:szCs w:val="32"/>
          <w:lang w:eastAsia="zh-CN"/>
        </w:rPr>
        <w:t>评价开展</w:t>
      </w:r>
      <w:r>
        <w:rPr>
          <w:rFonts w:hint="eastAsia" w:ascii="仿宋" w:hAnsi="仿宋" w:eastAsia="仿宋" w:cs="仿宋"/>
          <w:bCs/>
          <w:sz w:val="32"/>
          <w:szCs w:val="32"/>
        </w:rPr>
        <w:t>情况</w:t>
      </w:r>
    </w:p>
    <w:p>
      <w:pPr>
        <w:keepNext w:val="0"/>
        <w:keepLines w:val="0"/>
        <w:pageBreakBefore w:val="0"/>
        <w:kinsoku/>
        <w:wordWrap/>
        <w:overflowPunct/>
        <w:topLinePunct w:val="0"/>
        <w:autoSpaceDE/>
        <w:autoSpaceDN/>
        <w:bidi w:val="0"/>
        <w:adjustRightInd/>
        <w:snapToGrid/>
        <w:spacing w:beforeAutospacing="0" w:afterAutospacing="0" w:line="600" w:lineRule="exact"/>
        <w:ind w:left="638" w:leftChars="304" w:firstLine="640" w:firstLineChars="20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rPr>
        <w:t>一是抓好绩效目标编制，及时报送绩效目标。二是探索绩效跟踪监控，要求加强过程监控。三是深入开展财政支出绩效评价，对专项资金实施绩效自评和项目核查，在此基础上形成自评报告。四是强化评价结果应用，组织绩效自评和绩效跟踪监控，对发现的问题及时改进，加强评价结果与项目资金安排的衔接。五是健全绩效管理工作机制，明确职责分工，努力提高绩效管理工作水平。</w:t>
      </w:r>
      <w:r>
        <w:rPr>
          <w:rFonts w:hint="eastAsia" w:ascii="仿宋" w:hAnsi="仿宋" w:eastAsia="仿宋"/>
          <w:sz w:val="32"/>
          <w:szCs w:val="32"/>
          <w:lang w:eastAsia="zh-CN"/>
        </w:rPr>
        <w:t>绩效自评覆盖率达到</w:t>
      </w:r>
      <w:r>
        <w:rPr>
          <w:rFonts w:hint="eastAsia" w:ascii="仿宋" w:hAnsi="仿宋" w:eastAsia="仿宋"/>
          <w:sz w:val="32"/>
          <w:szCs w:val="32"/>
          <w:lang w:val="en-US" w:eastAsia="zh-CN"/>
        </w:rPr>
        <w:t xml:space="preserve">100%。 </w:t>
      </w:r>
    </w:p>
    <w:p>
      <w:pPr>
        <w:keepNext w:val="0"/>
        <w:keepLines w:val="0"/>
        <w:pageBreakBefore w:val="0"/>
        <w:kinsoku/>
        <w:wordWrap/>
        <w:overflowPunct/>
        <w:topLinePunct w:val="0"/>
        <w:autoSpaceDE/>
        <w:autoSpaceDN/>
        <w:bidi w:val="0"/>
        <w:adjustRightInd/>
        <w:snapToGrid/>
        <w:spacing w:beforeAutospacing="0" w:afterAutospacing="0" w:line="600" w:lineRule="exact"/>
        <w:ind w:left="638" w:leftChars="304" w:firstLine="640" w:firstLineChars="20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(三)预算项目绩效自评选例</w:t>
      </w:r>
    </w:p>
    <w:p>
      <w:pPr>
        <w:keepNext w:val="0"/>
        <w:keepLines w:val="0"/>
        <w:pageBreakBefore w:val="0"/>
        <w:kinsoku/>
        <w:wordWrap/>
        <w:overflowPunct/>
        <w:topLinePunct w:val="0"/>
        <w:autoSpaceDE/>
        <w:autoSpaceDN/>
        <w:bidi w:val="0"/>
        <w:adjustRightInd/>
        <w:snapToGrid/>
        <w:spacing w:beforeAutospacing="0" w:afterAutospacing="0" w:line="600" w:lineRule="exact"/>
        <w:ind w:left="638" w:leftChars="304" w:firstLine="640" w:firstLineChars="20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t>“</w:t>
      </w:r>
      <w:r>
        <w:rPr>
          <w:rFonts w:hint="eastAsia" w:ascii="仿宋" w:hAnsi="仿宋" w:eastAsia="仿宋"/>
          <w:sz w:val="32"/>
          <w:szCs w:val="32"/>
          <w:lang w:val="en-US" w:eastAsia="zh-CN"/>
        </w:rPr>
        <w:t>中央下达就业补助资金</w:t>
      </w:r>
      <w:r>
        <w:rPr>
          <w:rFonts w:hint="default" w:ascii="仿宋" w:hAnsi="仿宋" w:eastAsia="仿宋"/>
          <w:sz w:val="32"/>
          <w:szCs w:val="32"/>
          <w:lang w:val="en-US" w:eastAsia="zh-CN"/>
        </w:rPr>
        <w:t>”</w:t>
      </w:r>
      <w:r>
        <w:rPr>
          <w:rFonts w:hint="eastAsia" w:ascii="仿宋" w:hAnsi="仿宋" w:eastAsia="仿宋"/>
          <w:sz w:val="32"/>
          <w:szCs w:val="32"/>
          <w:lang w:val="en-US" w:eastAsia="zh-CN"/>
        </w:rPr>
        <w:t>项目职业培训补贴发放准确率为100%，接受职业培训后取得职业资格证书（或专项职业能力证书、培训合格证书）人员的比率大于80%，社会保险补贴发放准确率、公益性岗位补贴发放准确率、就业见习补贴发放准确率、求职创业补贴发放准确率均为100%。我局建立了专项资金管理办法，严格遵循专款专用、独立核算的管理原则。专项项目的申报严格按照财政资金管理的要求进行，专项资金财政拨款到位后及时进行了项目开展和资金投入。我单位目前对专项资金的管理按照项目支出涉及的经济科目规定，根据财务管理办法的相关制度执行。绩效自评等级为“优秀”。</w:t>
      </w:r>
    </w:p>
    <w:p>
      <w:pPr>
        <w:numPr>
          <w:ilvl w:val="0"/>
          <w:numId w:val="0"/>
        </w:numPr>
        <w:spacing w:line="600" w:lineRule="exact"/>
        <w:ind w:firstLine="1281" w:firstLineChars="400"/>
        <w:jc w:val="left"/>
        <w:rPr>
          <w:rFonts w:hint="eastAsia" w:ascii="华文楷体" w:hAnsi="华文楷体" w:eastAsia="华文楷体"/>
          <w:b/>
          <w:sz w:val="32"/>
          <w:szCs w:val="32"/>
          <w:lang w:eastAsia="zh-CN"/>
        </w:rPr>
      </w:pPr>
      <w:bookmarkStart w:id="0" w:name="_Toc471398463"/>
      <w:r>
        <w:rPr>
          <w:rFonts w:hint="eastAsia" w:ascii="华文楷体" w:hAnsi="华文楷体" w:eastAsia="华文楷体"/>
          <w:b/>
          <w:sz w:val="32"/>
          <w:szCs w:val="32"/>
          <w:lang w:eastAsia="zh-CN"/>
        </w:rPr>
        <w:t>七、其他重要事项的说明</w:t>
      </w:r>
    </w:p>
    <w:p>
      <w:pPr>
        <w:spacing w:line="600" w:lineRule="exact"/>
        <w:ind w:firstLine="1281" w:firstLineChars="400"/>
        <w:rPr>
          <w:rFonts w:ascii="华文楷体" w:hAnsi="华文楷体" w:eastAsia="华文楷体"/>
          <w:b/>
          <w:sz w:val="32"/>
          <w:szCs w:val="32"/>
        </w:rPr>
      </w:pPr>
      <w:r>
        <w:rPr>
          <w:rFonts w:hint="eastAsia" w:ascii="华文楷体" w:hAnsi="华文楷体" w:eastAsia="华文楷体" w:cs="宋体"/>
          <w:b/>
          <w:kern w:val="0"/>
          <w:sz w:val="32"/>
          <w:szCs w:val="32"/>
          <w:lang w:val="en-US" w:eastAsia="zh-CN"/>
        </w:rPr>
        <w:t>（一）</w:t>
      </w:r>
      <w:r>
        <w:rPr>
          <w:rFonts w:hint="eastAsia" w:ascii="华文楷体" w:hAnsi="华文楷体" w:eastAsia="华文楷体"/>
          <w:b/>
          <w:sz w:val="32"/>
          <w:szCs w:val="32"/>
        </w:rPr>
        <w:t>机关运行经费支出情况的说明</w:t>
      </w:r>
    </w:p>
    <w:p>
      <w:pPr>
        <w:spacing w:line="600" w:lineRule="exact"/>
        <w:ind w:left="643" w:hanging="643" w:hangingChars="200"/>
        <w:jc w:val="left"/>
        <w:rPr>
          <w:rFonts w:hint="eastAsia" w:ascii="仿宋" w:hAnsi="仿宋" w:eastAsia="仿宋" w:cs="仿宋"/>
          <w:b/>
          <w:bCs/>
          <w:sz w:val="32"/>
          <w:szCs w:val="32"/>
        </w:rPr>
      </w:pPr>
      <w:r>
        <w:rPr>
          <w:rFonts w:hint="eastAsia" w:ascii="仿宋" w:hAnsi="仿宋" w:eastAsia="仿宋" w:cs="仿宋"/>
          <w:b/>
          <w:bCs/>
          <w:sz w:val="32"/>
          <w:szCs w:val="32"/>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7</w:t>
      </w:r>
      <w:r>
        <w:rPr>
          <w:rFonts w:hint="eastAsia" w:ascii="仿宋" w:hAnsi="仿宋" w:eastAsia="仿宋" w:cs="仿宋"/>
          <w:b w:val="0"/>
          <w:bCs w:val="0"/>
          <w:sz w:val="32"/>
          <w:szCs w:val="32"/>
        </w:rPr>
        <w:t>年度机关运行经费支出</w:t>
      </w:r>
      <w:r>
        <w:rPr>
          <w:rFonts w:hint="eastAsia" w:ascii="仿宋" w:hAnsi="仿宋" w:eastAsia="仿宋" w:cs="仿宋"/>
          <w:b w:val="0"/>
          <w:bCs w:val="0"/>
          <w:sz w:val="32"/>
          <w:szCs w:val="32"/>
          <w:lang w:val="en-US" w:eastAsia="zh-CN"/>
        </w:rPr>
        <w:t>139.12</w:t>
      </w:r>
      <w:r>
        <w:rPr>
          <w:rFonts w:hint="eastAsia" w:ascii="仿宋" w:hAnsi="仿宋" w:eastAsia="仿宋" w:cs="仿宋"/>
          <w:b w:val="0"/>
          <w:bCs w:val="0"/>
          <w:sz w:val="32"/>
          <w:szCs w:val="32"/>
        </w:rPr>
        <w:t>万元，比 201</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eastAsia="zh-CN"/>
        </w:rPr>
        <w:t>度</w:t>
      </w:r>
      <w:r>
        <w:rPr>
          <w:rFonts w:hint="eastAsia" w:ascii="仿宋" w:hAnsi="仿宋" w:eastAsia="仿宋" w:cs="仿宋"/>
          <w:b w:val="0"/>
          <w:bCs w:val="0"/>
          <w:sz w:val="32"/>
          <w:szCs w:val="32"/>
        </w:rPr>
        <w:t>增加</w:t>
      </w:r>
      <w:r>
        <w:rPr>
          <w:rFonts w:hint="eastAsia" w:ascii="仿宋" w:hAnsi="仿宋" w:eastAsia="仿宋" w:cs="仿宋"/>
          <w:b w:val="0"/>
          <w:bCs w:val="0"/>
          <w:sz w:val="32"/>
          <w:szCs w:val="32"/>
          <w:lang w:val="en-US" w:eastAsia="zh-CN"/>
        </w:rPr>
        <w:t>64.13</w:t>
      </w:r>
      <w:r>
        <w:rPr>
          <w:rFonts w:hint="eastAsia" w:ascii="仿宋" w:hAnsi="仿宋" w:eastAsia="仿宋" w:cs="仿宋"/>
          <w:b w:val="0"/>
          <w:bCs w:val="0"/>
          <w:sz w:val="32"/>
          <w:szCs w:val="32"/>
        </w:rPr>
        <w:t>万元,增加</w:t>
      </w:r>
      <w:r>
        <w:rPr>
          <w:rFonts w:hint="eastAsia" w:ascii="仿宋" w:hAnsi="仿宋" w:eastAsia="仿宋" w:cs="仿宋"/>
          <w:b w:val="0"/>
          <w:bCs w:val="0"/>
          <w:sz w:val="32"/>
          <w:szCs w:val="32"/>
          <w:lang w:val="en-US" w:eastAsia="zh-CN"/>
        </w:rPr>
        <w:t>85%</w:t>
      </w:r>
      <w:r>
        <w:rPr>
          <w:rFonts w:hint="eastAsia" w:ascii="仿宋" w:hAnsi="仿宋" w:eastAsia="仿宋" w:cs="仿宋"/>
          <w:b w:val="0"/>
          <w:bCs w:val="0"/>
          <w:sz w:val="32"/>
          <w:szCs w:val="32"/>
        </w:rPr>
        <w:t>, 其主要原因是201</w:t>
      </w:r>
      <w:r>
        <w:rPr>
          <w:rFonts w:hint="eastAsia" w:ascii="仿宋" w:hAnsi="仿宋" w:eastAsia="仿宋" w:cs="仿宋"/>
          <w:b w:val="0"/>
          <w:bCs w:val="0"/>
          <w:sz w:val="32"/>
          <w:szCs w:val="32"/>
          <w:lang w:val="en-US" w:eastAsia="zh-CN"/>
        </w:rPr>
        <w:t>7</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eastAsia="zh-CN"/>
        </w:rPr>
        <w:t>度</w:t>
      </w:r>
      <w:r>
        <w:rPr>
          <w:rFonts w:hint="eastAsia" w:ascii="仿宋" w:hAnsi="仿宋" w:eastAsia="仿宋" w:cs="仿宋"/>
          <w:b w:val="0"/>
          <w:bCs w:val="0"/>
          <w:sz w:val="32"/>
          <w:szCs w:val="32"/>
        </w:rPr>
        <w:t>机关运行经费标准安排较201</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eastAsia="zh-CN"/>
        </w:rPr>
        <w:t>度</w:t>
      </w:r>
      <w:r>
        <w:rPr>
          <w:rFonts w:hint="eastAsia" w:ascii="仿宋" w:hAnsi="仿宋" w:eastAsia="仿宋" w:cs="仿宋"/>
          <w:b w:val="0"/>
          <w:bCs w:val="0"/>
          <w:sz w:val="32"/>
          <w:szCs w:val="32"/>
        </w:rPr>
        <w:t>有所提高</w:t>
      </w:r>
      <w:r>
        <w:rPr>
          <w:rFonts w:hint="eastAsia" w:ascii="仿宋" w:hAnsi="仿宋" w:eastAsia="仿宋" w:cs="仿宋"/>
          <w:b w:val="0"/>
          <w:bCs w:val="0"/>
          <w:sz w:val="32"/>
          <w:szCs w:val="32"/>
          <w:lang w:eastAsia="zh-CN"/>
        </w:rPr>
        <w:t>，公务交通补贴列入其他交通费用导致增加比例变大</w:t>
      </w:r>
      <w:r>
        <w:rPr>
          <w:rFonts w:hint="eastAsia" w:ascii="仿宋" w:hAnsi="仿宋" w:eastAsia="仿宋" w:cs="仿宋"/>
          <w:b w:val="0"/>
          <w:bCs w:val="0"/>
          <w:sz w:val="32"/>
          <w:szCs w:val="32"/>
        </w:rPr>
        <w:t>。</w:t>
      </w:r>
    </w:p>
    <w:p>
      <w:pPr>
        <w:spacing w:line="600" w:lineRule="exact"/>
        <w:jc w:val="left"/>
        <w:rPr>
          <w:rFonts w:hint="eastAsia" w:ascii="华文楷体" w:hAnsi="华文楷体" w:eastAsia="华文楷体"/>
          <w:b/>
          <w:sz w:val="32"/>
          <w:szCs w:val="32"/>
        </w:rPr>
      </w:pPr>
      <w:r>
        <w:rPr>
          <w:rFonts w:hint="eastAsia" w:ascii="华文楷体" w:hAnsi="华文楷体" w:eastAsia="华文楷体" w:cs="宋体"/>
          <w:b/>
          <w:kern w:val="0"/>
          <w:sz w:val="32"/>
          <w:szCs w:val="32"/>
        </w:rPr>
        <w:t xml:space="preserve">      </w:t>
      </w:r>
      <w:r>
        <w:rPr>
          <w:rFonts w:hint="eastAsia" w:ascii="华文楷体" w:hAnsi="华文楷体" w:eastAsia="华文楷体" w:cs="宋体"/>
          <w:b/>
          <w:kern w:val="0"/>
          <w:sz w:val="32"/>
          <w:szCs w:val="32"/>
          <w:lang w:val="en-US" w:eastAsia="zh-CN"/>
        </w:rPr>
        <w:t xml:space="preserve"> （二）</w:t>
      </w:r>
      <w:r>
        <w:rPr>
          <w:rFonts w:hint="eastAsia" w:ascii="华文楷体" w:hAnsi="华文楷体" w:eastAsia="华文楷体"/>
          <w:b/>
          <w:sz w:val="32"/>
          <w:szCs w:val="32"/>
        </w:rPr>
        <w:t>政府采购决算情况</w:t>
      </w:r>
    </w:p>
    <w:p>
      <w:pPr>
        <w:spacing w:line="600" w:lineRule="exact"/>
        <w:ind w:firstLine="640" w:firstLineChars="200"/>
        <w:jc w:val="left"/>
        <w:rPr>
          <w:rFonts w:hint="eastAsia" w:ascii="仿宋" w:hAnsi="仿宋" w:eastAsia="仿宋"/>
          <w:sz w:val="32"/>
          <w:szCs w:val="24"/>
        </w:rPr>
      </w:pPr>
      <w:r>
        <w:rPr>
          <w:rFonts w:hint="eastAsia" w:ascii="仿宋" w:hAnsi="仿宋" w:eastAsia="仿宋"/>
          <w:sz w:val="32"/>
          <w:szCs w:val="24"/>
        </w:rPr>
        <w:t xml:space="preserve">   </w:t>
      </w:r>
      <w:r>
        <w:rPr>
          <w:rFonts w:hint="eastAsia" w:ascii="仿宋" w:hAnsi="仿宋" w:eastAsia="仿宋"/>
          <w:sz w:val="32"/>
          <w:szCs w:val="24"/>
          <w:lang w:val="en-US" w:eastAsia="zh-CN"/>
        </w:rPr>
        <w:t xml:space="preserve"> </w:t>
      </w:r>
      <w:r>
        <w:rPr>
          <w:rFonts w:ascii="仿宋" w:hAnsi="仿宋" w:eastAsia="仿宋"/>
          <w:sz w:val="32"/>
          <w:szCs w:val="24"/>
        </w:rPr>
        <w:t>201</w:t>
      </w:r>
      <w:r>
        <w:rPr>
          <w:rFonts w:hint="eastAsia" w:ascii="仿宋" w:hAnsi="仿宋" w:eastAsia="仿宋"/>
          <w:sz w:val="32"/>
          <w:szCs w:val="24"/>
          <w:lang w:val="en-US" w:eastAsia="zh-CN"/>
        </w:rPr>
        <w:t>7</w:t>
      </w:r>
      <w:r>
        <w:rPr>
          <w:rFonts w:hint="eastAsia" w:ascii="仿宋" w:hAnsi="仿宋" w:eastAsia="仿宋"/>
          <w:sz w:val="32"/>
          <w:szCs w:val="24"/>
        </w:rPr>
        <w:t>年度，我</w:t>
      </w:r>
      <w:r>
        <w:rPr>
          <w:rFonts w:hint="eastAsia" w:ascii="仿宋" w:hAnsi="仿宋" w:eastAsia="仿宋"/>
          <w:sz w:val="32"/>
          <w:szCs w:val="24"/>
          <w:lang w:eastAsia="zh-CN"/>
        </w:rPr>
        <w:t>部门</w:t>
      </w:r>
      <w:r>
        <w:rPr>
          <w:rFonts w:hint="eastAsia" w:ascii="仿宋" w:hAnsi="仿宋" w:eastAsia="仿宋" w:cs="宋体"/>
          <w:sz w:val="32"/>
          <w:szCs w:val="24"/>
        </w:rPr>
        <w:t>无</w:t>
      </w:r>
      <w:r>
        <w:rPr>
          <w:rFonts w:hint="eastAsia" w:ascii="仿宋" w:hAnsi="仿宋" w:eastAsia="仿宋"/>
          <w:sz w:val="32"/>
          <w:szCs w:val="24"/>
        </w:rPr>
        <w:t>政府采购支出。</w:t>
      </w:r>
      <w:bookmarkEnd w:id="0"/>
    </w:p>
    <w:p>
      <w:pPr>
        <w:spacing w:line="600" w:lineRule="exact"/>
        <w:ind w:firstLine="1281" w:firstLineChars="400"/>
        <w:jc w:val="left"/>
        <w:rPr>
          <w:rFonts w:ascii="华文楷体" w:hAnsi="华文楷体" w:eastAsia="华文楷体" w:cs="仿宋"/>
          <w:b/>
          <w:bCs/>
          <w:color w:val="484747"/>
          <w:kern w:val="0"/>
          <w:sz w:val="32"/>
          <w:szCs w:val="32"/>
        </w:rPr>
      </w:pPr>
      <w:r>
        <w:rPr>
          <w:rFonts w:hint="eastAsia" w:ascii="华文楷体" w:hAnsi="华文楷体" w:eastAsia="华文楷体" w:cs="宋体"/>
          <w:b/>
          <w:kern w:val="0"/>
          <w:sz w:val="32"/>
          <w:szCs w:val="32"/>
          <w:lang w:val="en-US" w:eastAsia="zh-CN"/>
        </w:rPr>
        <w:t>（三）</w:t>
      </w:r>
      <w:r>
        <w:rPr>
          <w:rFonts w:hint="eastAsia" w:ascii="楷体" w:hAnsi="楷体" w:eastAsia="楷体" w:cs="宋体"/>
          <w:b/>
          <w:kern w:val="0"/>
          <w:sz w:val="32"/>
          <w:szCs w:val="32"/>
        </w:rPr>
        <w:t>国有资产</w:t>
      </w:r>
      <w:r>
        <w:rPr>
          <w:rFonts w:hint="eastAsia" w:ascii="楷体" w:hAnsi="楷体" w:eastAsia="楷体" w:cs="宋体"/>
          <w:b/>
          <w:kern w:val="0"/>
          <w:sz w:val="32"/>
          <w:szCs w:val="32"/>
          <w:lang w:eastAsia="zh-CN"/>
        </w:rPr>
        <w:t>占用情况</w:t>
      </w:r>
      <w:r>
        <w:rPr>
          <w:rFonts w:hint="eastAsia" w:ascii="楷体" w:hAnsi="楷体" w:eastAsia="楷体" w:cs="宋体"/>
          <w:b/>
          <w:kern w:val="0"/>
          <w:sz w:val="32"/>
          <w:szCs w:val="32"/>
        </w:rPr>
        <w:t xml:space="preserve"> </w:t>
      </w:r>
      <w:r>
        <w:rPr>
          <w:rFonts w:hint="eastAsia" w:ascii="华文楷体" w:hAnsi="华文楷体" w:eastAsia="华文楷体" w:cs="仿宋"/>
          <w:b/>
          <w:bCs/>
          <w:color w:val="484747"/>
          <w:kern w:val="0"/>
          <w:sz w:val="32"/>
          <w:szCs w:val="32"/>
        </w:rPr>
        <w:t xml:space="preserve">         </w:t>
      </w:r>
    </w:p>
    <w:p>
      <w:pPr>
        <w:pStyle w:val="6"/>
        <w:shd w:val="clear" w:color="auto" w:fill="FFFFFF"/>
        <w:spacing w:before="0" w:beforeAutospacing="0" w:after="0" w:afterAutospacing="0" w:line="384" w:lineRule="atLeast"/>
        <w:ind w:left="638" w:leftChars="304" w:firstLine="640" w:firstLineChars="200"/>
        <w:rPr>
          <w:rFonts w:hint="eastAsia" w:ascii="仿宋_GB2312" w:hAnsi="仿宋_GB2312" w:eastAsia="仿宋_GB2312" w:cstheme="minorBidi"/>
          <w:kern w:val="2"/>
          <w:sz w:val="32"/>
          <w:szCs w:val="32"/>
          <w:lang w:eastAsia="zh-CN"/>
        </w:rPr>
      </w:pPr>
      <w:r>
        <w:rPr>
          <w:rFonts w:hint="eastAsia" w:ascii="仿宋_GB2312" w:hAnsi="仿宋_GB2312" w:eastAsia="仿宋_GB2312" w:cstheme="minorBidi"/>
          <w:kern w:val="2"/>
          <w:sz w:val="32"/>
          <w:szCs w:val="32"/>
          <w:lang w:eastAsia="zh-CN"/>
        </w:rPr>
        <w:t>本部门国有资产占有总体情况是</w:t>
      </w:r>
      <w:r>
        <w:rPr>
          <w:rFonts w:hint="eastAsia" w:ascii="仿宋_GB2312" w:hAnsi="仿宋_GB2312" w:eastAsia="仿宋_GB2312" w:cstheme="minorBidi"/>
          <w:kern w:val="2"/>
          <w:sz w:val="32"/>
          <w:szCs w:val="32"/>
        </w:rPr>
        <w:t>截至201</w:t>
      </w:r>
      <w:r>
        <w:rPr>
          <w:rFonts w:hint="eastAsia" w:ascii="仿宋_GB2312" w:hAnsi="仿宋_GB2312" w:eastAsia="仿宋_GB2312" w:cstheme="minorBidi"/>
          <w:kern w:val="2"/>
          <w:sz w:val="32"/>
          <w:szCs w:val="32"/>
          <w:lang w:val="en-US" w:eastAsia="zh-CN"/>
        </w:rPr>
        <w:t>7</w:t>
      </w:r>
      <w:r>
        <w:rPr>
          <w:rFonts w:hint="eastAsia" w:ascii="仿宋_GB2312" w:hAnsi="仿宋_GB2312" w:eastAsia="仿宋_GB2312" w:cstheme="minorBidi"/>
          <w:kern w:val="2"/>
          <w:sz w:val="32"/>
          <w:szCs w:val="32"/>
        </w:rPr>
        <w:t>年12月31日，</w:t>
      </w:r>
      <w:r>
        <w:rPr>
          <w:rFonts w:hint="eastAsia" w:ascii="仿宋_GB2312" w:hAnsi="仿宋_GB2312" w:eastAsia="仿宋_GB2312" w:cstheme="minorBidi"/>
          <w:kern w:val="2"/>
          <w:sz w:val="32"/>
          <w:szCs w:val="32"/>
          <w:lang w:eastAsia="zh-CN"/>
        </w:rPr>
        <w:t>上年末固定资产金额为</w:t>
      </w:r>
      <w:r>
        <w:rPr>
          <w:rFonts w:hint="eastAsia" w:ascii="仿宋_GB2312" w:hAnsi="仿宋_GB2312" w:eastAsia="仿宋_GB2312" w:cstheme="minorBidi"/>
          <w:kern w:val="2"/>
          <w:sz w:val="32"/>
          <w:szCs w:val="32"/>
          <w:lang w:val="en-US" w:eastAsia="zh-CN"/>
        </w:rPr>
        <w:t>1484.88万元，分布构成为：房屋面积为7741.74平米，价值为945.89万元；</w:t>
      </w:r>
      <w:r>
        <w:rPr>
          <w:rFonts w:hint="eastAsia" w:ascii="仿宋_GB2312" w:hAnsi="仿宋_GB2312" w:eastAsia="仿宋_GB2312" w:cstheme="minorBidi"/>
          <w:kern w:val="2"/>
          <w:sz w:val="32"/>
          <w:szCs w:val="32"/>
          <w:lang w:eastAsia="zh-CN"/>
        </w:rPr>
        <w:t>车辆</w:t>
      </w:r>
      <w:r>
        <w:rPr>
          <w:rFonts w:hint="eastAsia" w:ascii="仿宋_GB2312" w:hAnsi="仿宋_GB2312" w:eastAsia="仿宋_GB2312" w:cstheme="minorBidi"/>
          <w:kern w:val="2"/>
          <w:sz w:val="32"/>
          <w:szCs w:val="32"/>
          <w:lang w:val="en-US" w:eastAsia="zh-CN"/>
        </w:rPr>
        <w:t>5</w:t>
      </w:r>
      <w:r>
        <w:rPr>
          <w:rFonts w:hint="eastAsia" w:ascii="仿宋_GB2312" w:hAnsi="仿宋_GB2312" w:eastAsia="仿宋_GB2312" w:cstheme="minorBidi"/>
          <w:kern w:val="2"/>
          <w:sz w:val="32"/>
          <w:szCs w:val="32"/>
          <w:lang w:eastAsia="zh-CN"/>
        </w:rPr>
        <w:t>辆，其中，一般公务用车4辆、其他用车1辆，其他用车主要是用于“就业创业下乡”的东南客车。金额为</w:t>
      </w:r>
      <w:r>
        <w:rPr>
          <w:rFonts w:hint="eastAsia" w:ascii="仿宋_GB2312" w:hAnsi="仿宋_GB2312" w:eastAsia="仿宋_GB2312" w:cstheme="minorBidi"/>
          <w:kern w:val="2"/>
          <w:sz w:val="32"/>
          <w:szCs w:val="32"/>
          <w:lang w:val="en-US" w:eastAsia="zh-CN"/>
        </w:rPr>
        <w:t>67.23万元；单价在20万元以上的设备为数量0；其他固定资产数量为714，金额为471.76万元。本年与上年相比增加54.15万元，原因是2017年我部门新购置一批办公设备、专用设备。</w:t>
      </w:r>
      <w:r>
        <w:rPr>
          <w:rFonts w:hint="eastAsia" w:ascii="仿宋_GB2312" w:hAnsi="仿宋_GB2312" w:eastAsia="仿宋_GB2312" w:cstheme="minorBidi"/>
          <w:kern w:val="2"/>
          <w:sz w:val="32"/>
          <w:szCs w:val="32"/>
          <w:lang w:eastAsia="zh-CN"/>
        </w:rPr>
        <w:t>详见下表：</w:t>
      </w:r>
    </w:p>
    <w:tbl>
      <w:tblPr>
        <w:tblStyle w:val="7"/>
        <w:tblW w:w="12210" w:type="dxa"/>
        <w:tblInd w:w="795" w:type="dxa"/>
        <w:tblLayout w:type="fixed"/>
        <w:tblCellMar>
          <w:top w:w="0" w:type="dxa"/>
          <w:left w:w="108" w:type="dxa"/>
          <w:bottom w:w="0" w:type="dxa"/>
          <w:right w:w="108" w:type="dxa"/>
        </w:tblCellMar>
      </w:tblPr>
      <w:tblGrid>
        <w:gridCol w:w="4522"/>
        <w:gridCol w:w="3155"/>
        <w:gridCol w:w="4533"/>
      </w:tblGrid>
      <w:tr>
        <w:tblPrEx>
          <w:tblCellMar>
            <w:top w:w="0" w:type="dxa"/>
            <w:left w:w="108" w:type="dxa"/>
            <w:bottom w:w="0" w:type="dxa"/>
            <w:right w:w="108" w:type="dxa"/>
          </w:tblCellMar>
        </w:tblPrEx>
        <w:trPr>
          <w:trHeight w:val="705" w:hRule="atLeast"/>
        </w:trPr>
        <w:tc>
          <w:tcPr>
            <w:tcW w:w="12210" w:type="dxa"/>
            <w:gridSpan w:val="3"/>
            <w:tcBorders>
              <w:top w:val="nil"/>
              <w:left w:val="nil"/>
              <w:bottom w:val="nil"/>
              <w:right w:val="nil"/>
            </w:tcBorders>
            <w:vAlign w:val="center"/>
          </w:tcPr>
          <w:p>
            <w:pPr>
              <w:widowControl/>
              <w:jc w:val="center"/>
              <w:rPr>
                <w:rFonts w:ascii="宋体" w:cs="宋体"/>
                <w:bCs/>
                <w:kern w:val="0"/>
                <w:sz w:val="32"/>
                <w:szCs w:val="32"/>
              </w:rPr>
            </w:pPr>
            <w:r>
              <w:rPr>
                <w:rFonts w:hint="eastAsia" w:ascii="宋体" w:hAnsi="宋体" w:cs="宋体"/>
                <w:bCs/>
                <w:kern w:val="0"/>
                <w:sz w:val="32"/>
                <w:szCs w:val="32"/>
              </w:rPr>
              <w:t>大厂回族自治县</w:t>
            </w:r>
            <w:r>
              <w:rPr>
                <w:rFonts w:hint="eastAsia" w:ascii="宋体" w:hAnsi="宋体" w:cs="宋体"/>
                <w:bCs/>
                <w:kern w:val="0"/>
                <w:sz w:val="32"/>
                <w:szCs w:val="32"/>
                <w:lang w:eastAsia="zh-CN"/>
              </w:rPr>
              <w:t>人力资源和社会保障局</w:t>
            </w:r>
            <w:r>
              <w:rPr>
                <w:rFonts w:hint="eastAsia" w:ascii="宋体" w:hAnsi="宋体" w:cs="宋体"/>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7677" w:type="dxa"/>
            <w:gridSpan w:val="2"/>
            <w:tcBorders>
              <w:top w:val="nil"/>
              <w:left w:val="nil"/>
              <w:bottom w:val="nil"/>
              <w:right w:val="nil"/>
            </w:tcBorders>
            <w:vAlign w:val="center"/>
          </w:tcPr>
          <w:p>
            <w:pPr>
              <w:widowControl/>
              <w:jc w:val="left"/>
              <w:rPr>
                <w:rFonts w:hint="eastAsia" w:ascii="宋体" w:eastAsia="宋体" w:cs="宋体"/>
                <w:kern w:val="0"/>
                <w:sz w:val="22"/>
                <w:lang w:eastAsia="zh-CN"/>
              </w:rPr>
            </w:pPr>
            <w:r>
              <w:rPr>
                <w:rFonts w:hint="eastAsia" w:ascii="宋体" w:hAnsi="宋体" w:cs="宋体"/>
                <w:kern w:val="0"/>
                <w:sz w:val="22"/>
              </w:rPr>
              <w:t>编制部门：大厂回族自治县</w:t>
            </w:r>
            <w:r>
              <w:rPr>
                <w:rFonts w:hint="eastAsia" w:ascii="宋体" w:hAnsi="宋体" w:cs="宋体"/>
                <w:kern w:val="0"/>
                <w:sz w:val="22"/>
                <w:lang w:eastAsia="zh-CN"/>
              </w:rPr>
              <w:t>人力资源和社会保障局</w:t>
            </w:r>
          </w:p>
        </w:tc>
        <w:tc>
          <w:tcPr>
            <w:tcW w:w="4533" w:type="dxa"/>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201</w:t>
            </w:r>
            <w:r>
              <w:rPr>
                <w:rFonts w:hint="eastAsia" w:ascii="宋体" w:hAnsi="宋体" w:cs="宋体"/>
                <w:kern w:val="0"/>
                <w:sz w:val="22"/>
                <w:lang w:val="en-US" w:eastAsia="zh-CN"/>
              </w:rPr>
              <w:t>7</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CellMar>
            <w:top w:w="0" w:type="dxa"/>
            <w:left w:w="108" w:type="dxa"/>
            <w:bottom w:w="0" w:type="dxa"/>
            <w:right w:w="108" w:type="dxa"/>
          </w:tblCellMar>
        </w:tblPrEx>
        <w:trPr>
          <w:trHeight w:val="645" w:hRule="atLeast"/>
        </w:trPr>
        <w:tc>
          <w:tcPr>
            <w:tcW w:w="45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Cs/>
                <w:kern w:val="0"/>
                <w:sz w:val="22"/>
              </w:rPr>
            </w:pPr>
            <w:r>
              <w:rPr>
                <w:rFonts w:hint="eastAsia" w:ascii="宋体" w:hAnsi="宋体" w:cs="宋体"/>
                <w:bCs/>
                <w:kern w:val="0"/>
                <w:sz w:val="22"/>
              </w:rPr>
              <w:t>项</w:t>
            </w:r>
            <w:r>
              <w:rPr>
                <w:rFonts w:ascii="宋体" w:hAnsi="宋体" w:cs="宋体"/>
                <w:bCs/>
                <w:kern w:val="0"/>
                <w:sz w:val="22"/>
              </w:rPr>
              <w:t xml:space="preserve">   </w:t>
            </w:r>
            <w:r>
              <w:rPr>
                <w:rFonts w:hint="eastAsia" w:ascii="宋体" w:hAnsi="宋体" w:cs="宋体"/>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宋体"/>
                <w:bCs/>
                <w:kern w:val="0"/>
                <w:sz w:val="22"/>
              </w:rPr>
            </w:pPr>
            <w:r>
              <w:rPr>
                <w:rFonts w:hint="eastAsia" w:ascii="宋体" w:hAnsi="宋体" w:cs="宋体"/>
                <w:bCs/>
                <w:kern w:val="0"/>
                <w:sz w:val="22"/>
              </w:rPr>
              <w:t>数量</w:t>
            </w:r>
          </w:p>
        </w:tc>
        <w:tc>
          <w:tcPr>
            <w:tcW w:w="4533" w:type="dxa"/>
            <w:tcBorders>
              <w:top w:val="single" w:color="auto" w:sz="4" w:space="0"/>
              <w:left w:val="nil"/>
              <w:bottom w:val="single" w:color="auto" w:sz="4" w:space="0"/>
              <w:right w:val="single" w:color="auto" w:sz="4" w:space="0"/>
            </w:tcBorders>
            <w:vAlign w:val="center"/>
          </w:tcPr>
          <w:p>
            <w:pPr>
              <w:widowControl/>
              <w:jc w:val="center"/>
              <w:rPr>
                <w:rFonts w:ascii="宋体" w:cs="宋体"/>
                <w:bCs/>
                <w:kern w:val="0"/>
                <w:sz w:val="22"/>
              </w:rPr>
            </w:pPr>
            <w:r>
              <w:rPr>
                <w:rFonts w:hint="eastAsia" w:ascii="宋体" w:hAnsi="宋体" w:cs="宋体"/>
                <w:bCs/>
                <w:kern w:val="0"/>
                <w:sz w:val="22"/>
              </w:rPr>
              <w:t>价值（金额单位：万元）</w:t>
            </w:r>
          </w:p>
        </w:tc>
      </w:tr>
      <w:tr>
        <w:tblPrEx>
          <w:tblCellMar>
            <w:top w:w="0" w:type="dxa"/>
            <w:left w:w="108" w:type="dxa"/>
            <w:bottom w:w="0" w:type="dxa"/>
            <w:right w:w="108" w:type="dxa"/>
          </w:tblCellMar>
        </w:tblPrEx>
        <w:trPr>
          <w:trHeight w:val="645" w:hRule="atLeast"/>
        </w:trPr>
        <w:tc>
          <w:tcPr>
            <w:tcW w:w="4522"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val="en-US" w:eastAsia="zh-CN"/>
              </w:rPr>
            </w:pPr>
            <w:r>
              <w:rPr>
                <w:rFonts w:hint="eastAsia" w:ascii="宋体" w:cs="宋体"/>
                <w:kern w:val="0"/>
                <w:sz w:val="22"/>
                <w:lang w:val="en-US" w:eastAsia="zh-CN"/>
              </w:rPr>
              <w:t>719</w:t>
            </w:r>
          </w:p>
        </w:tc>
        <w:tc>
          <w:tcPr>
            <w:tcW w:w="4533"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val="en-US" w:eastAsia="zh-CN"/>
              </w:rPr>
            </w:pPr>
            <w:r>
              <w:rPr>
                <w:rFonts w:hint="eastAsia" w:ascii="宋体" w:cs="宋体"/>
                <w:kern w:val="0"/>
                <w:sz w:val="22"/>
                <w:lang w:val="en-US" w:eastAsia="zh-CN"/>
              </w:rPr>
              <w:t>1484.88</w:t>
            </w:r>
          </w:p>
        </w:tc>
      </w:tr>
      <w:tr>
        <w:tblPrEx>
          <w:tblCellMar>
            <w:top w:w="0" w:type="dxa"/>
            <w:left w:w="108" w:type="dxa"/>
            <w:bottom w:w="0" w:type="dxa"/>
            <w:right w:w="108" w:type="dxa"/>
          </w:tblCellMar>
        </w:tblPrEx>
        <w:trPr>
          <w:trHeight w:val="645" w:hRule="atLeast"/>
        </w:trPr>
        <w:tc>
          <w:tcPr>
            <w:tcW w:w="45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val="en-US" w:eastAsia="zh-CN"/>
              </w:rPr>
            </w:pPr>
            <w:r>
              <w:rPr>
                <w:rFonts w:hint="eastAsia" w:ascii="宋体" w:cs="宋体"/>
                <w:kern w:val="0"/>
                <w:sz w:val="22"/>
                <w:lang w:val="en-US" w:eastAsia="zh-CN"/>
              </w:rPr>
              <w:t>7741.74</w:t>
            </w:r>
          </w:p>
        </w:tc>
        <w:tc>
          <w:tcPr>
            <w:tcW w:w="4533"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val="en-US" w:eastAsia="zh-CN"/>
              </w:rPr>
            </w:pPr>
            <w:r>
              <w:rPr>
                <w:rFonts w:hint="eastAsia" w:ascii="宋体" w:cs="宋体"/>
                <w:kern w:val="0"/>
                <w:sz w:val="22"/>
                <w:lang w:val="en-US" w:eastAsia="zh-CN"/>
              </w:rPr>
              <w:t>945.89</w:t>
            </w:r>
          </w:p>
        </w:tc>
      </w:tr>
      <w:tr>
        <w:tblPrEx>
          <w:tblCellMar>
            <w:top w:w="0" w:type="dxa"/>
            <w:left w:w="108" w:type="dxa"/>
            <w:bottom w:w="0" w:type="dxa"/>
            <w:right w:w="108" w:type="dxa"/>
          </w:tblCellMar>
        </w:tblPrEx>
        <w:trPr>
          <w:trHeight w:val="645" w:hRule="atLeast"/>
        </w:trPr>
        <w:tc>
          <w:tcPr>
            <w:tcW w:w="45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cs="宋体"/>
                <w:kern w:val="0"/>
                <w:sz w:val="22"/>
                <w:lang w:val="en-US" w:eastAsia="zh-CN"/>
              </w:rPr>
              <w:t>7741.74</w:t>
            </w:r>
          </w:p>
        </w:tc>
        <w:tc>
          <w:tcPr>
            <w:tcW w:w="453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cs="宋体"/>
                <w:kern w:val="0"/>
                <w:sz w:val="22"/>
                <w:lang w:val="en-US" w:eastAsia="zh-CN"/>
              </w:rPr>
              <w:t>945.89</w:t>
            </w:r>
          </w:p>
        </w:tc>
      </w:tr>
      <w:tr>
        <w:tblPrEx>
          <w:tblCellMar>
            <w:top w:w="0" w:type="dxa"/>
            <w:left w:w="108" w:type="dxa"/>
            <w:bottom w:w="0" w:type="dxa"/>
            <w:right w:w="108" w:type="dxa"/>
          </w:tblCellMar>
        </w:tblPrEx>
        <w:trPr>
          <w:trHeight w:val="645" w:hRule="atLeast"/>
        </w:trPr>
        <w:tc>
          <w:tcPr>
            <w:tcW w:w="45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val="en-US" w:eastAsia="zh-CN"/>
              </w:rPr>
            </w:pPr>
            <w:r>
              <w:rPr>
                <w:rFonts w:hint="eastAsia" w:ascii="宋体" w:cs="宋体"/>
                <w:kern w:val="0"/>
                <w:sz w:val="22"/>
                <w:lang w:val="en-US" w:eastAsia="zh-CN"/>
              </w:rPr>
              <w:t>5</w:t>
            </w:r>
          </w:p>
        </w:tc>
        <w:tc>
          <w:tcPr>
            <w:tcW w:w="4533"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val="en-US" w:eastAsia="zh-CN"/>
              </w:rPr>
            </w:pPr>
            <w:r>
              <w:rPr>
                <w:rFonts w:hint="eastAsia" w:ascii="宋体" w:cs="宋体"/>
                <w:kern w:val="0"/>
                <w:sz w:val="22"/>
                <w:lang w:val="en-US" w:eastAsia="zh-CN"/>
              </w:rPr>
              <w:t>67.23</w:t>
            </w:r>
          </w:p>
        </w:tc>
      </w:tr>
      <w:tr>
        <w:tblPrEx>
          <w:tblCellMar>
            <w:top w:w="0" w:type="dxa"/>
            <w:left w:w="108" w:type="dxa"/>
            <w:bottom w:w="0" w:type="dxa"/>
            <w:right w:w="108" w:type="dxa"/>
          </w:tblCellMar>
        </w:tblPrEx>
        <w:trPr>
          <w:trHeight w:val="645" w:hRule="atLeast"/>
        </w:trPr>
        <w:tc>
          <w:tcPr>
            <w:tcW w:w="45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20</w:t>
            </w:r>
            <w:r>
              <w:rPr>
                <w:rFonts w:hint="eastAsia" w:ascii="宋体" w:hAnsi="宋体" w:cs="宋体"/>
                <w:kern w:val="0"/>
                <w:sz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eastAsia="zh-CN"/>
              </w:rPr>
            </w:pPr>
            <w:r>
              <w:rPr>
                <w:rFonts w:hint="eastAsia" w:ascii="宋体" w:cs="宋体"/>
                <w:kern w:val="0"/>
                <w:sz w:val="22"/>
                <w:lang w:val="en-US" w:eastAsia="zh-CN"/>
              </w:rPr>
              <w:t>0</w:t>
            </w:r>
          </w:p>
        </w:tc>
        <w:tc>
          <w:tcPr>
            <w:tcW w:w="4533"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val="en-US" w:eastAsia="zh-CN"/>
              </w:rPr>
            </w:pPr>
            <w:r>
              <w:rPr>
                <w:rFonts w:hint="eastAsia" w:ascii="宋体" w:cs="宋体"/>
                <w:kern w:val="0"/>
                <w:sz w:val="22"/>
                <w:lang w:val="en-US" w:eastAsia="zh-CN"/>
              </w:rPr>
              <w:t>0</w:t>
            </w:r>
          </w:p>
        </w:tc>
      </w:tr>
      <w:tr>
        <w:tblPrEx>
          <w:tblCellMar>
            <w:top w:w="0" w:type="dxa"/>
            <w:left w:w="108" w:type="dxa"/>
            <w:bottom w:w="0" w:type="dxa"/>
            <w:right w:w="108" w:type="dxa"/>
          </w:tblCellMar>
        </w:tblPrEx>
        <w:trPr>
          <w:trHeight w:val="645" w:hRule="atLeast"/>
        </w:trPr>
        <w:tc>
          <w:tcPr>
            <w:tcW w:w="45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val="en-US" w:eastAsia="zh-CN"/>
              </w:rPr>
            </w:pPr>
            <w:r>
              <w:rPr>
                <w:rFonts w:hint="eastAsia" w:ascii="宋体" w:cs="宋体"/>
                <w:kern w:val="0"/>
                <w:sz w:val="22"/>
                <w:lang w:val="en-US" w:eastAsia="zh-CN"/>
              </w:rPr>
              <w:t>714</w:t>
            </w:r>
          </w:p>
        </w:tc>
        <w:tc>
          <w:tcPr>
            <w:tcW w:w="4533"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val="en-US" w:eastAsia="zh-CN"/>
              </w:rPr>
            </w:pPr>
            <w:r>
              <w:rPr>
                <w:rFonts w:hint="eastAsia" w:ascii="宋体" w:cs="宋体"/>
                <w:kern w:val="0"/>
                <w:sz w:val="22"/>
                <w:lang w:val="en-US" w:eastAsia="zh-CN"/>
              </w:rPr>
              <w:t>471.76</w:t>
            </w:r>
          </w:p>
        </w:tc>
      </w:tr>
    </w:tbl>
    <w:p>
      <w:pPr>
        <w:pStyle w:val="6"/>
        <w:shd w:val="clear" w:color="auto" w:fill="FFFFFF"/>
        <w:spacing w:before="0" w:beforeAutospacing="0" w:after="0" w:afterAutospacing="0" w:line="384" w:lineRule="atLeast"/>
        <w:rPr>
          <w:rFonts w:hint="eastAsia" w:ascii="仿宋_GB2312" w:hAnsi="仿宋_GB2312" w:eastAsia="仿宋_GB2312" w:cstheme="minorBidi"/>
          <w:kern w:val="2"/>
          <w:sz w:val="32"/>
          <w:szCs w:val="32"/>
        </w:rPr>
      </w:pPr>
    </w:p>
    <w:p>
      <w:pPr>
        <w:spacing w:line="600" w:lineRule="exact"/>
        <w:jc w:val="left"/>
        <w:rPr>
          <w:rFonts w:ascii="楷体" w:hAnsi="楷体" w:eastAsia="楷体" w:cs="宋体"/>
          <w:b/>
          <w:kern w:val="0"/>
          <w:sz w:val="32"/>
          <w:szCs w:val="32"/>
        </w:rPr>
      </w:pPr>
      <w:r>
        <w:rPr>
          <w:rFonts w:hint="eastAsia" w:ascii="华文楷体" w:hAnsi="华文楷体" w:eastAsia="华文楷体" w:cs="宋体"/>
          <w:b/>
          <w:kern w:val="0"/>
          <w:sz w:val="32"/>
          <w:szCs w:val="32"/>
        </w:rPr>
        <w:t xml:space="preserve">      </w:t>
      </w:r>
      <w:r>
        <w:rPr>
          <w:rFonts w:hint="eastAsia" w:ascii="华文楷体" w:hAnsi="华文楷体" w:eastAsia="华文楷体" w:cs="宋体"/>
          <w:b/>
          <w:kern w:val="0"/>
          <w:sz w:val="32"/>
          <w:szCs w:val="32"/>
          <w:lang w:val="en-US" w:eastAsia="zh-CN"/>
        </w:rPr>
        <w:t xml:space="preserve"> </w:t>
      </w:r>
      <w:r>
        <w:rPr>
          <w:rFonts w:hint="eastAsia" w:ascii="楷体" w:hAnsi="楷体" w:eastAsia="楷体" w:cs="宋体"/>
          <w:b/>
          <w:kern w:val="0"/>
          <w:sz w:val="32"/>
          <w:szCs w:val="32"/>
          <w:lang w:val="en-US" w:eastAsia="zh-CN"/>
        </w:rPr>
        <w:t>（四）</w:t>
      </w:r>
      <w:r>
        <w:rPr>
          <w:rFonts w:hint="eastAsia" w:ascii="楷体" w:hAnsi="楷体" w:eastAsia="楷体" w:cs="宋体"/>
          <w:b/>
          <w:kern w:val="0"/>
          <w:sz w:val="32"/>
          <w:szCs w:val="32"/>
        </w:rPr>
        <w:t>其他需要说明的情况</w:t>
      </w:r>
    </w:p>
    <w:p>
      <w:pPr>
        <w:tabs>
          <w:tab w:val="left" w:pos="11490"/>
        </w:tabs>
        <w:spacing w:line="600" w:lineRule="exact"/>
        <w:ind w:left="638" w:leftChars="304" w:firstLine="0" w:firstLineChars="0"/>
        <w:jc w:val="left"/>
        <w:rPr>
          <w:rFonts w:hint="eastAsia" w:ascii="仿宋" w:hAnsi="仿宋" w:eastAsia="仿宋" w:cstheme="minorBidi"/>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cstheme="minorBidi"/>
          <w:sz w:val="32"/>
          <w:szCs w:val="32"/>
        </w:rPr>
        <w:t>1、本部门2017年度国有资本经营预算财政拨款及政府采购预算无收支，故国有资本经营预算财政拨款收入支出决算表、政府采购情况表以空表列示。</w:t>
      </w:r>
    </w:p>
    <w:p>
      <w:pPr>
        <w:tabs>
          <w:tab w:val="left" w:pos="11490"/>
        </w:tabs>
        <w:spacing w:line="600" w:lineRule="exact"/>
        <w:ind w:left="638" w:leftChars="304" w:firstLine="640" w:firstLineChars="200"/>
        <w:jc w:val="left"/>
        <w:rPr>
          <w:rFonts w:hint="eastAsia" w:ascii="仿宋" w:hAnsi="仿宋" w:eastAsia="仿宋" w:cstheme="minorBidi"/>
          <w:sz w:val="32"/>
          <w:szCs w:val="32"/>
        </w:rPr>
      </w:pPr>
      <w:r>
        <w:rPr>
          <w:rFonts w:hint="eastAsia" w:ascii="仿宋" w:hAnsi="仿宋" w:eastAsia="仿宋" w:cstheme="minorBidi"/>
          <w:sz w:val="32"/>
          <w:szCs w:val="32"/>
        </w:rPr>
        <w:t>2、由于决算数据公开表格中金额数值应当保留两位小数，公开数据为四舍五入计算结果，个别数据合计项与分项之和存在小数点后差额，特此说明。</w:t>
      </w:r>
    </w:p>
    <w:p>
      <w:pPr>
        <w:tabs>
          <w:tab w:val="left" w:pos="11490"/>
        </w:tabs>
        <w:spacing w:line="600" w:lineRule="exact"/>
        <w:ind w:left="319" w:leftChars="152" w:firstLine="320" w:firstLineChars="100"/>
        <w:jc w:val="left"/>
        <w:rPr>
          <w:rFonts w:ascii="仿宋" w:hAnsi="仿宋" w:eastAsia="仿宋" w:cs="宋体"/>
          <w:sz w:val="32"/>
          <w:szCs w:val="32"/>
        </w:rPr>
      </w:pPr>
    </w:p>
    <w:p>
      <w:pPr>
        <w:pStyle w:val="6"/>
        <w:shd w:val="clear" w:color="auto" w:fill="FFFFFF"/>
        <w:spacing w:before="0" w:beforeAutospacing="0" w:after="0" w:afterAutospacing="0" w:line="600" w:lineRule="exact"/>
        <w:jc w:val="center"/>
        <w:rPr>
          <w:rFonts w:ascii="黑体" w:hAnsi="黑体" w:eastAsia="黑体" w:cs="Times New Roman"/>
          <w:b/>
          <w:kern w:val="2"/>
          <w:sz w:val="32"/>
          <w:szCs w:val="32"/>
        </w:rPr>
      </w:pPr>
      <w:r>
        <w:rPr>
          <w:rFonts w:hint="eastAsia" w:ascii="黑体" w:hAnsi="黑体" w:eastAsia="黑体" w:cs="Times New Roman"/>
          <w:b/>
          <w:kern w:val="2"/>
          <w:sz w:val="32"/>
          <w:szCs w:val="32"/>
          <w:lang w:val="en-US" w:eastAsia="zh-CN"/>
        </w:rPr>
        <w:t>第</w:t>
      </w:r>
      <w:r>
        <w:rPr>
          <w:rFonts w:hint="eastAsia" w:ascii="黑体" w:hAnsi="黑体" w:eastAsia="黑体" w:cs="Times New Roman"/>
          <w:b/>
          <w:kern w:val="2"/>
          <w:sz w:val="32"/>
          <w:szCs w:val="32"/>
        </w:rPr>
        <w:t>四</w:t>
      </w:r>
      <w:r>
        <w:rPr>
          <w:rFonts w:hint="eastAsia" w:ascii="黑体" w:hAnsi="黑体" w:eastAsia="黑体" w:cs="Times New Roman"/>
          <w:b/>
          <w:kern w:val="2"/>
          <w:sz w:val="32"/>
          <w:szCs w:val="32"/>
          <w:lang w:eastAsia="zh-CN"/>
        </w:rPr>
        <w:t>部分</w:t>
      </w:r>
      <w:r>
        <w:rPr>
          <w:rFonts w:hint="eastAsia" w:ascii="黑体" w:hAnsi="黑体" w:eastAsia="黑体" w:cs="Times New Roman"/>
          <w:b/>
          <w:kern w:val="2"/>
          <w:sz w:val="32"/>
          <w:szCs w:val="32"/>
          <w:lang w:val="en-US" w:eastAsia="zh-CN"/>
        </w:rPr>
        <w:t xml:space="preserve">  </w:t>
      </w:r>
      <w:r>
        <w:rPr>
          <w:rFonts w:hint="eastAsia" w:ascii="黑体" w:hAnsi="黑体" w:eastAsia="黑体" w:cs="Times New Roman"/>
          <w:b/>
          <w:kern w:val="2"/>
          <w:sz w:val="32"/>
          <w:szCs w:val="32"/>
        </w:rPr>
        <w:t>名词解释</w:t>
      </w:r>
    </w:p>
    <w:p>
      <w:pPr>
        <w:widowControl/>
        <w:shd w:val="clear" w:color="auto" w:fill="FFFFFF"/>
        <w:spacing w:line="540" w:lineRule="exact"/>
        <w:ind w:left="638" w:leftChars="304" w:firstLine="0" w:firstLineChars="0"/>
        <w:jc w:val="left"/>
        <w:rPr>
          <w:rFonts w:ascii="宋体" w:hAnsi="宋体" w:cs="宋体"/>
          <w:kern w:val="0"/>
          <w:sz w:val="24"/>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hAnsi="宋体" w:eastAsia="仿宋_GB2312" w:cs="宋体"/>
          <w:color w:val="000000"/>
          <w:kern w:val="0"/>
          <w:sz w:val="32"/>
          <w:szCs w:val="32"/>
        </w:rPr>
        <w:t>（一）财政拨款收入：本年度从本级财政部门取得的财政拨款，包括一般公共预算财政拨款和政府性基金预算财政拨款。</w:t>
      </w:r>
    </w:p>
    <w:p>
      <w:pPr>
        <w:widowControl/>
        <w:shd w:val="clear" w:color="auto" w:fill="FFFFFF"/>
        <w:spacing w:line="540" w:lineRule="exact"/>
        <w:ind w:firstLine="1280" w:firstLineChars="400"/>
        <w:jc w:val="left"/>
        <w:rPr>
          <w:rFonts w:ascii="宋体" w:hAnsi="宋体" w:cs="宋体"/>
          <w:kern w:val="0"/>
          <w:sz w:val="24"/>
        </w:rPr>
      </w:pPr>
      <w:r>
        <w:rPr>
          <w:rFonts w:hint="eastAsia" w:hAnsi="宋体" w:eastAsia="仿宋_GB2312" w:cs="宋体"/>
          <w:color w:val="000000"/>
          <w:kern w:val="0"/>
          <w:sz w:val="32"/>
          <w:szCs w:val="32"/>
        </w:rPr>
        <w:t>（二）事业收入：指事业单位开展专业业务活动及辅助活动所取得的收入。</w:t>
      </w:r>
    </w:p>
    <w:p>
      <w:pPr>
        <w:widowControl/>
        <w:shd w:val="clear" w:color="auto" w:fill="FFFFFF"/>
        <w:spacing w:line="540" w:lineRule="exact"/>
        <w:ind w:firstLine="1280" w:firstLineChars="400"/>
        <w:jc w:val="left"/>
        <w:rPr>
          <w:rFonts w:ascii="宋体" w:hAnsi="宋体" w:cs="宋体"/>
          <w:kern w:val="0"/>
          <w:sz w:val="24"/>
        </w:rPr>
      </w:pPr>
      <w:r>
        <w:rPr>
          <w:rFonts w:hint="eastAsia" w:hAnsi="宋体" w:eastAsia="仿宋_GB2312" w:cs="宋体"/>
          <w:color w:val="000000"/>
          <w:kern w:val="0"/>
          <w:sz w:val="32"/>
          <w:szCs w:val="32"/>
        </w:rPr>
        <w:t>（三）其他收入：指除上述</w:t>
      </w:r>
      <w:r>
        <w:rPr>
          <w:rFonts w:eastAsia="仿宋_GB2312"/>
          <w:color w:val="000000"/>
          <w:kern w:val="0"/>
          <w:sz w:val="32"/>
          <w:szCs w:val="32"/>
        </w:rPr>
        <w:t>“</w:t>
      </w:r>
      <w:r>
        <w:rPr>
          <w:rFonts w:hint="eastAsia" w:hAnsi="宋体" w:eastAsia="仿宋_GB2312" w:cs="宋体"/>
          <w:color w:val="000000"/>
          <w:kern w:val="0"/>
          <w:sz w:val="32"/>
          <w:szCs w:val="32"/>
        </w:rPr>
        <w:t>财政拨款收入</w:t>
      </w:r>
      <w:r>
        <w:rPr>
          <w:rFonts w:eastAsia="仿宋_GB2312"/>
          <w:color w:val="000000"/>
          <w:kern w:val="0"/>
          <w:sz w:val="32"/>
          <w:szCs w:val="32"/>
        </w:rPr>
        <w:t>”</w:t>
      </w:r>
      <w:r>
        <w:rPr>
          <w:rFonts w:hint="eastAsia" w:hAnsi="宋体" w:eastAsia="仿宋_GB2312" w:cs="宋体"/>
          <w:color w:val="000000"/>
          <w:kern w:val="0"/>
          <w:sz w:val="32"/>
          <w:szCs w:val="32"/>
        </w:rPr>
        <w:t>、</w:t>
      </w:r>
      <w:r>
        <w:rPr>
          <w:rFonts w:eastAsia="仿宋_GB2312"/>
          <w:color w:val="000000"/>
          <w:kern w:val="0"/>
          <w:sz w:val="32"/>
          <w:szCs w:val="32"/>
        </w:rPr>
        <w:t>“</w:t>
      </w:r>
      <w:r>
        <w:rPr>
          <w:rFonts w:hint="eastAsia" w:hAnsi="宋体" w:eastAsia="仿宋_GB2312" w:cs="宋体"/>
          <w:color w:val="000000"/>
          <w:kern w:val="0"/>
          <w:sz w:val="32"/>
          <w:szCs w:val="32"/>
        </w:rPr>
        <w:t>事业收入</w:t>
      </w:r>
      <w:r>
        <w:rPr>
          <w:rFonts w:eastAsia="仿宋_GB2312"/>
          <w:color w:val="000000"/>
          <w:kern w:val="0"/>
          <w:sz w:val="32"/>
          <w:szCs w:val="32"/>
        </w:rPr>
        <w:t>”</w:t>
      </w:r>
      <w:r>
        <w:rPr>
          <w:rFonts w:hint="eastAsia" w:hAnsi="宋体" w:eastAsia="仿宋_GB2312" w:cs="宋体"/>
          <w:color w:val="000000"/>
          <w:kern w:val="0"/>
          <w:sz w:val="32"/>
          <w:szCs w:val="32"/>
        </w:rPr>
        <w:t>、</w:t>
      </w:r>
      <w:r>
        <w:rPr>
          <w:rFonts w:eastAsia="仿宋_GB2312"/>
          <w:color w:val="000000"/>
          <w:kern w:val="0"/>
          <w:sz w:val="32"/>
          <w:szCs w:val="32"/>
        </w:rPr>
        <w:t>“</w:t>
      </w:r>
      <w:r>
        <w:rPr>
          <w:rFonts w:hint="eastAsia" w:hAnsi="宋体" w:eastAsia="仿宋_GB2312" w:cs="宋体"/>
          <w:color w:val="000000"/>
          <w:kern w:val="0"/>
          <w:sz w:val="32"/>
          <w:szCs w:val="32"/>
        </w:rPr>
        <w:t>经营收入</w:t>
      </w:r>
      <w:r>
        <w:rPr>
          <w:rFonts w:eastAsia="仿宋_GB2312"/>
          <w:color w:val="000000"/>
          <w:kern w:val="0"/>
          <w:sz w:val="32"/>
          <w:szCs w:val="32"/>
        </w:rPr>
        <w:t>”</w:t>
      </w:r>
      <w:r>
        <w:rPr>
          <w:rFonts w:hint="eastAsia" w:hAnsi="宋体" w:eastAsia="仿宋_GB2312" w:cs="宋体"/>
          <w:color w:val="000000"/>
          <w:kern w:val="0"/>
          <w:sz w:val="32"/>
          <w:szCs w:val="32"/>
        </w:rPr>
        <w:t>等以外的收入。</w:t>
      </w:r>
    </w:p>
    <w:p>
      <w:pPr>
        <w:widowControl/>
        <w:shd w:val="clear" w:color="auto" w:fill="FFFFFF"/>
        <w:spacing w:line="540" w:lineRule="exact"/>
        <w:ind w:left="638" w:leftChars="304" w:firstLine="640" w:firstLineChars="200"/>
        <w:jc w:val="left"/>
        <w:rPr>
          <w:rFonts w:ascii="宋体" w:hAnsi="宋体" w:cs="宋体"/>
          <w:kern w:val="0"/>
          <w:sz w:val="24"/>
        </w:rPr>
      </w:pPr>
      <w:r>
        <w:rPr>
          <w:rFonts w:hint="eastAsia" w:hAnsi="宋体" w:eastAsia="仿宋_GB2312" w:cs="宋体"/>
          <w:color w:val="000000"/>
          <w:kern w:val="0"/>
          <w:sz w:val="32"/>
          <w:szCs w:val="32"/>
        </w:rPr>
        <w:t>（四）用事业基金弥补收支差额：指事业单位在用当年的</w:t>
      </w:r>
      <w:r>
        <w:rPr>
          <w:rFonts w:eastAsia="仿宋_GB2312"/>
          <w:color w:val="000000"/>
          <w:kern w:val="0"/>
          <w:sz w:val="32"/>
          <w:szCs w:val="32"/>
        </w:rPr>
        <w:t>“</w:t>
      </w:r>
      <w:r>
        <w:rPr>
          <w:rFonts w:hint="eastAsia" w:hAnsi="宋体" w:eastAsia="仿宋_GB2312" w:cs="宋体"/>
          <w:color w:val="000000"/>
          <w:kern w:val="0"/>
          <w:sz w:val="32"/>
          <w:szCs w:val="32"/>
        </w:rPr>
        <w:t>财政拨款收入</w:t>
      </w:r>
      <w:r>
        <w:rPr>
          <w:rFonts w:eastAsia="仿宋_GB2312"/>
          <w:color w:val="000000"/>
          <w:kern w:val="0"/>
          <w:sz w:val="32"/>
          <w:szCs w:val="32"/>
        </w:rPr>
        <w:t>”</w:t>
      </w:r>
      <w:r>
        <w:rPr>
          <w:rFonts w:hint="eastAsia" w:hAnsi="宋体" w:eastAsia="仿宋_GB2312" w:cs="宋体"/>
          <w:color w:val="000000"/>
          <w:kern w:val="0"/>
          <w:sz w:val="32"/>
          <w:szCs w:val="32"/>
        </w:rPr>
        <w:t>、</w:t>
      </w:r>
      <w:r>
        <w:rPr>
          <w:rFonts w:eastAsia="仿宋_GB2312"/>
          <w:color w:val="000000"/>
          <w:kern w:val="0"/>
          <w:sz w:val="32"/>
          <w:szCs w:val="32"/>
        </w:rPr>
        <w:t>“</w:t>
      </w:r>
      <w:r>
        <w:rPr>
          <w:rFonts w:hint="eastAsia" w:hAnsi="宋体" w:eastAsia="仿宋_GB2312" w:cs="宋体"/>
          <w:color w:val="000000"/>
          <w:kern w:val="0"/>
          <w:sz w:val="32"/>
          <w:szCs w:val="32"/>
        </w:rPr>
        <w:t>财政拨款结转和结余资金</w:t>
      </w:r>
      <w:r>
        <w:rPr>
          <w:rFonts w:eastAsia="仿宋_GB2312"/>
          <w:color w:val="000000"/>
          <w:kern w:val="0"/>
          <w:sz w:val="32"/>
          <w:szCs w:val="32"/>
        </w:rPr>
        <w:t>”</w:t>
      </w:r>
      <w:r>
        <w:rPr>
          <w:rFonts w:hint="eastAsia" w:hAnsi="宋体" w:eastAsia="仿宋_GB2312" w:cs="宋体"/>
          <w:color w:val="000000"/>
          <w:kern w:val="0"/>
          <w:sz w:val="32"/>
          <w:szCs w:val="32"/>
        </w:rPr>
        <w:t>、</w:t>
      </w:r>
      <w:r>
        <w:rPr>
          <w:rFonts w:eastAsia="仿宋_GB2312"/>
          <w:color w:val="000000"/>
          <w:kern w:val="0"/>
          <w:sz w:val="32"/>
          <w:szCs w:val="32"/>
        </w:rPr>
        <w:t>“</w:t>
      </w:r>
      <w:r>
        <w:rPr>
          <w:rFonts w:hint="eastAsia" w:hAnsi="宋体" w:eastAsia="仿宋_GB2312" w:cs="宋体"/>
          <w:color w:val="000000"/>
          <w:kern w:val="0"/>
          <w:sz w:val="32"/>
          <w:szCs w:val="32"/>
        </w:rPr>
        <w:t>事业收入</w:t>
      </w:r>
      <w:r>
        <w:rPr>
          <w:rFonts w:eastAsia="仿宋_GB2312"/>
          <w:color w:val="000000"/>
          <w:kern w:val="0"/>
          <w:sz w:val="32"/>
          <w:szCs w:val="32"/>
        </w:rPr>
        <w:t>”</w:t>
      </w:r>
      <w:r>
        <w:rPr>
          <w:rFonts w:hint="eastAsia" w:hAnsi="宋体" w:eastAsia="仿宋_GB2312" w:cs="宋体"/>
          <w:color w:val="000000"/>
          <w:kern w:val="0"/>
          <w:sz w:val="32"/>
          <w:szCs w:val="32"/>
        </w:rPr>
        <w:t>、</w:t>
      </w:r>
      <w:r>
        <w:rPr>
          <w:rFonts w:eastAsia="仿宋_GB2312"/>
          <w:color w:val="000000"/>
          <w:kern w:val="0"/>
          <w:sz w:val="32"/>
          <w:szCs w:val="32"/>
        </w:rPr>
        <w:t>“</w:t>
      </w:r>
      <w:r>
        <w:rPr>
          <w:rFonts w:hint="eastAsia" w:hAnsi="宋体" w:eastAsia="仿宋_GB2312" w:cs="宋体"/>
          <w:color w:val="000000"/>
          <w:kern w:val="0"/>
          <w:sz w:val="32"/>
          <w:szCs w:val="32"/>
        </w:rPr>
        <w:t>经营收入</w:t>
      </w:r>
      <w:r>
        <w:rPr>
          <w:rFonts w:eastAsia="仿宋_GB2312"/>
          <w:color w:val="000000"/>
          <w:kern w:val="0"/>
          <w:sz w:val="32"/>
          <w:szCs w:val="32"/>
        </w:rPr>
        <w:t>”</w:t>
      </w:r>
      <w:r>
        <w:rPr>
          <w:rFonts w:hint="eastAsia" w:hAnsi="宋体" w:eastAsia="仿宋_GB2312" w:cs="宋体"/>
          <w:color w:val="000000"/>
          <w:kern w:val="0"/>
          <w:sz w:val="32"/>
          <w:szCs w:val="32"/>
        </w:rPr>
        <w:t>、</w:t>
      </w:r>
      <w:r>
        <w:rPr>
          <w:rFonts w:eastAsia="仿宋_GB2312"/>
          <w:color w:val="000000"/>
          <w:kern w:val="0"/>
          <w:sz w:val="32"/>
          <w:szCs w:val="32"/>
        </w:rPr>
        <w:t>“</w:t>
      </w:r>
      <w:r>
        <w:rPr>
          <w:rFonts w:hint="eastAsia" w:hAnsi="宋体" w:eastAsia="仿宋_GB2312" w:cs="宋体"/>
          <w:color w:val="000000"/>
          <w:kern w:val="0"/>
          <w:sz w:val="32"/>
          <w:szCs w:val="32"/>
        </w:rPr>
        <w:t>其他收入</w:t>
      </w:r>
      <w:r>
        <w:rPr>
          <w:rFonts w:eastAsia="仿宋_GB2312"/>
          <w:color w:val="000000"/>
          <w:kern w:val="0"/>
          <w:sz w:val="32"/>
          <w:szCs w:val="32"/>
        </w:rPr>
        <w:t>”</w:t>
      </w:r>
      <w:r>
        <w:rPr>
          <w:rFonts w:hint="eastAsia" w:hAnsi="宋体" w:eastAsia="仿宋_GB2312" w:cs="宋体"/>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pPr>
        <w:widowControl/>
        <w:shd w:val="clear" w:color="auto" w:fill="FFFFFF"/>
        <w:spacing w:line="540" w:lineRule="exact"/>
        <w:ind w:left="638" w:leftChars="304" w:firstLine="640" w:firstLineChars="200"/>
        <w:jc w:val="left"/>
        <w:rPr>
          <w:rFonts w:ascii="宋体" w:hAnsi="宋体" w:cs="宋体"/>
          <w:kern w:val="0"/>
          <w:sz w:val="24"/>
        </w:rPr>
      </w:pPr>
      <w:r>
        <w:rPr>
          <w:rFonts w:hint="eastAsia" w:hAnsi="宋体" w:eastAsia="仿宋_GB2312" w:cs="宋体"/>
          <w:color w:val="000000"/>
          <w:kern w:val="0"/>
          <w:sz w:val="32"/>
          <w:szCs w:val="32"/>
        </w:rPr>
        <w:t>（五）年初结转和结余：指以前年度尚未完成、结转到本年仍按原规定用途继续使用的资金，或项目已完成等产生的结余资金。</w:t>
      </w:r>
    </w:p>
    <w:p>
      <w:pPr>
        <w:widowControl/>
        <w:shd w:val="clear" w:color="auto" w:fill="FFFFFF"/>
        <w:spacing w:line="540" w:lineRule="exact"/>
        <w:ind w:left="638" w:leftChars="304" w:firstLine="640" w:firstLineChars="200"/>
        <w:jc w:val="left"/>
        <w:rPr>
          <w:rFonts w:ascii="宋体" w:hAnsi="宋体" w:cs="宋体"/>
          <w:kern w:val="0"/>
          <w:sz w:val="24"/>
        </w:rPr>
      </w:pPr>
      <w:r>
        <w:rPr>
          <w:rFonts w:hint="eastAsia" w:hAnsi="宋体" w:eastAsia="仿宋_GB2312" w:cs="宋体"/>
          <w:color w:val="000000"/>
          <w:kern w:val="0"/>
          <w:sz w:val="32"/>
          <w:szCs w:val="32"/>
        </w:rPr>
        <w:t>（六）结余分配：指事业单位按照事业单位会计制度的规定从非财政补助结余中分配的事业基金和职工福利基金等。</w:t>
      </w:r>
    </w:p>
    <w:p>
      <w:pPr>
        <w:widowControl/>
        <w:shd w:val="clear" w:color="auto" w:fill="FFFFFF"/>
        <w:spacing w:line="540" w:lineRule="exact"/>
        <w:ind w:left="638" w:leftChars="304" w:firstLine="640" w:firstLineChars="200"/>
        <w:jc w:val="left"/>
        <w:rPr>
          <w:rFonts w:ascii="宋体" w:hAnsi="宋体" w:cs="宋体"/>
          <w:kern w:val="0"/>
          <w:sz w:val="24"/>
        </w:rPr>
      </w:pPr>
      <w:r>
        <w:rPr>
          <w:rFonts w:hint="eastAsia" w:hAnsi="宋体" w:eastAsia="仿宋_GB2312" w:cs="宋体"/>
          <w:color w:val="000000"/>
          <w:kern w:val="0"/>
          <w:sz w:val="32"/>
          <w:szCs w:val="32"/>
        </w:rPr>
        <w:t>（七）年末结转和结余：指单位按有关规定结转到下年或以后年度继续使用的资金，或项目已完成等产生的结余资金。</w:t>
      </w:r>
    </w:p>
    <w:p>
      <w:pPr>
        <w:widowControl/>
        <w:shd w:val="clear" w:color="auto" w:fill="FFFFFF"/>
        <w:spacing w:line="540" w:lineRule="exact"/>
        <w:ind w:firstLine="1280" w:firstLineChars="400"/>
        <w:jc w:val="left"/>
        <w:rPr>
          <w:rFonts w:ascii="宋体" w:hAnsi="宋体" w:cs="宋体"/>
          <w:kern w:val="0"/>
          <w:sz w:val="24"/>
        </w:rPr>
      </w:pPr>
      <w:r>
        <w:rPr>
          <w:rFonts w:hint="eastAsia" w:hAnsi="宋体" w:eastAsia="仿宋_GB2312" w:cs="宋体"/>
          <w:color w:val="000000"/>
          <w:kern w:val="0"/>
          <w:sz w:val="32"/>
          <w:szCs w:val="32"/>
        </w:rPr>
        <w:t>（八）基本支出：填列单位为保障机构正常运转、完成日常工作任务而发生的各项支出。</w:t>
      </w:r>
    </w:p>
    <w:p>
      <w:pPr>
        <w:widowControl/>
        <w:shd w:val="clear" w:color="auto" w:fill="FFFFFF"/>
        <w:spacing w:line="540" w:lineRule="exact"/>
        <w:ind w:left="638" w:leftChars="304" w:firstLine="640" w:firstLineChars="200"/>
        <w:jc w:val="left"/>
        <w:rPr>
          <w:rFonts w:hint="eastAsia" w:ascii="宋体" w:hAnsi="宋体" w:eastAsia="仿宋_GB2312" w:cs="宋体"/>
          <w:kern w:val="0"/>
          <w:sz w:val="24"/>
          <w:lang w:val="en-US" w:eastAsia="zh-CN"/>
        </w:rPr>
      </w:pPr>
      <w:r>
        <w:rPr>
          <w:rFonts w:hint="eastAsia" w:hAnsi="宋体" w:eastAsia="仿宋_GB2312" w:cs="宋体"/>
          <w:color w:val="000000"/>
          <w:kern w:val="0"/>
          <w:sz w:val="32"/>
          <w:szCs w:val="32"/>
        </w:rPr>
        <w:t>（九）项目支出：填列单位为完成特定的行政工作任务或事业发展目标，在基本支出之外发生的各项支出</w:t>
      </w:r>
      <w:r>
        <w:rPr>
          <w:rFonts w:hint="eastAsia" w:hAnsi="宋体" w:eastAsia="仿宋_GB2312" w:cs="宋体"/>
          <w:color w:val="000000"/>
          <w:kern w:val="0"/>
          <w:sz w:val="32"/>
          <w:szCs w:val="32"/>
          <w:lang w:eastAsia="zh-CN"/>
        </w:rPr>
        <w:t>。</w:t>
      </w:r>
    </w:p>
    <w:p>
      <w:pPr>
        <w:widowControl/>
        <w:shd w:val="clear" w:color="auto" w:fill="FFFFFF"/>
        <w:spacing w:line="540" w:lineRule="exact"/>
        <w:ind w:left="638" w:leftChars="304" w:firstLine="640" w:firstLineChars="200"/>
        <w:jc w:val="left"/>
        <w:rPr>
          <w:rFonts w:ascii="宋体" w:hAnsi="宋体" w:cs="宋体"/>
          <w:kern w:val="0"/>
          <w:sz w:val="24"/>
        </w:rPr>
      </w:pPr>
      <w:r>
        <w:rPr>
          <w:rFonts w:hint="eastAsia" w:hAnsi="宋体" w:eastAsia="仿宋_GB2312" w:cs="宋体"/>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hd w:val="clear" w:color="auto" w:fill="FFFFFF"/>
        <w:spacing w:line="540" w:lineRule="exact"/>
        <w:ind w:left="638" w:leftChars="304" w:firstLine="640" w:firstLineChars="200"/>
        <w:jc w:val="left"/>
        <w:rPr>
          <w:rFonts w:ascii="宋体" w:hAnsi="宋体" w:cs="宋体"/>
          <w:kern w:val="0"/>
          <w:sz w:val="24"/>
        </w:rPr>
      </w:pPr>
      <w:r>
        <w:rPr>
          <w:rFonts w:hint="eastAsia" w:hAnsi="宋体" w:eastAsia="仿宋_GB2312" w:cs="宋体"/>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widowControl/>
        <w:shd w:val="clear" w:color="auto" w:fill="FFFFFF"/>
        <w:spacing w:line="540" w:lineRule="exact"/>
        <w:ind w:left="638" w:leftChars="304" w:firstLine="640" w:firstLineChars="200"/>
        <w:jc w:val="left"/>
        <w:rPr>
          <w:rFonts w:ascii="宋体" w:hAnsi="宋体" w:cs="宋体"/>
          <w:kern w:val="0"/>
          <w:sz w:val="24"/>
        </w:rPr>
      </w:pPr>
      <w:r>
        <w:rPr>
          <w:rFonts w:hint="eastAsia" w:hAnsi="宋体" w:eastAsia="仿宋_GB2312" w:cs="宋体"/>
          <w:color w:val="000000"/>
          <w:kern w:val="0"/>
          <w:sz w:val="32"/>
          <w:szCs w:val="32"/>
        </w:rPr>
        <w:t>（十二）</w:t>
      </w:r>
      <w:r>
        <w:rPr>
          <w:rFonts w:eastAsia="仿宋_GB2312"/>
          <w:color w:val="000000"/>
          <w:kern w:val="0"/>
          <w:sz w:val="32"/>
          <w:szCs w:val="32"/>
        </w:rPr>
        <w:t>“</w:t>
      </w:r>
      <w:r>
        <w:rPr>
          <w:rFonts w:hint="eastAsia" w:hAnsi="宋体" w:eastAsia="仿宋_GB2312" w:cs="宋体"/>
          <w:color w:val="000000"/>
          <w:kern w:val="0"/>
          <w:sz w:val="32"/>
          <w:szCs w:val="32"/>
        </w:rPr>
        <w:t>三公</w:t>
      </w:r>
      <w:r>
        <w:rPr>
          <w:rFonts w:eastAsia="仿宋_GB2312"/>
          <w:color w:val="000000"/>
          <w:kern w:val="0"/>
          <w:sz w:val="32"/>
          <w:szCs w:val="32"/>
        </w:rPr>
        <w:t>”</w:t>
      </w:r>
      <w:r>
        <w:rPr>
          <w:rFonts w:hint="eastAsia" w:hAnsi="宋体" w:eastAsia="仿宋_GB2312" w:cs="宋体"/>
          <w:color w:val="000000"/>
          <w:kern w:val="0"/>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hd w:val="clear" w:color="auto" w:fill="FFFFFF"/>
        <w:spacing w:line="540" w:lineRule="exact"/>
        <w:ind w:left="638" w:leftChars="304" w:firstLine="640" w:firstLineChars="200"/>
        <w:jc w:val="left"/>
        <w:rPr>
          <w:rFonts w:ascii="宋体" w:hAnsi="宋体" w:cs="宋体"/>
          <w:kern w:val="0"/>
          <w:sz w:val="24"/>
        </w:rPr>
      </w:pPr>
      <w:r>
        <w:rPr>
          <w:rFonts w:hint="eastAsia" w:hAnsi="宋体" w:eastAsia="仿宋_GB2312" w:cs="宋体"/>
          <w:color w:val="000000"/>
          <w:kern w:val="0"/>
          <w:sz w:val="32"/>
          <w:szCs w:val="32"/>
        </w:rPr>
        <w:t>（十三）其他交通费用：填列单位除公务用车运行维护费以外的其他交通费用。如飞机、船舶等的燃料费、维修费、过桥过路费、保险费、出租车费用、公务交通补贴等。</w:t>
      </w:r>
    </w:p>
    <w:p>
      <w:pPr>
        <w:widowControl/>
        <w:shd w:val="clear" w:color="auto" w:fill="FFFFFF"/>
        <w:spacing w:line="540" w:lineRule="exact"/>
        <w:ind w:firstLine="1280" w:firstLineChars="400"/>
        <w:jc w:val="left"/>
        <w:rPr>
          <w:rFonts w:ascii="宋体" w:hAnsi="宋体" w:cs="宋体"/>
          <w:kern w:val="0"/>
          <w:sz w:val="24"/>
        </w:rPr>
      </w:pPr>
      <w:r>
        <w:rPr>
          <w:rFonts w:hint="eastAsia" w:hAnsi="宋体" w:eastAsia="仿宋_GB2312" w:cs="宋体"/>
          <w:color w:val="000000"/>
          <w:kern w:val="0"/>
          <w:sz w:val="32"/>
          <w:szCs w:val="32"/>
        </w:rPr>
        <w:t>（十四）公务用车购置：填列单位公务用车车辆购置支出（含车辆购置税）。</w:t>
      </w:r>
    </w:p>
    <w:p>
      <w:pPr>
        <w:widowControl/>
        <w:shd w:val="clear" w:color="auto" w:fill="FFFFFF"/>
        <w:spacing w:line="540" w:lineRule="exact"/>
        <w:ind w:left="638" w:leftChars="304" w:firstLine="640" w:firstLineChars="200"/>
        <w:jc w:val="left"/>
        <w:rPr>
          <w:rFonts w:ascii="宋体" w:hAnsi="宋体" w:cs="宋体"/>
          <w:kern w:val="0"/>
          <w:sz w:val="24"/>
        </w:rPr>
      </w:pPr>
      <w:r>
        <w:rPr>
          <w:rFonts w:hint="eastAsia" w:hAnsi="宋体" w:eastAsia="仿宋_GB2312" w:cs="宋体"/>
          <w:color w:val="000000"/>
          <w:kern w:val="0"/>
          <w:sz w:val="32"/>
          <w:szCs w:val="32"/>
        </w:rPr>
        <w:t>（十五）其他交通工具购置：填列单位除公务用车外的其他各类交通工具（如船舶、飞机）购置支出（含车辆购置税）。</w:t>
      </w:r>
    </w:p>
    <w:p>
      <w:pPr>
        <w:widowControl/>
        <w:shd w:val="clear" w:color="auto" w:fill="FFFFFF"/>
        <w:adjustRightInd w:val="0"/>
        <w:snapToGrid w:val="0"/>
        <w:spacing w:line="540" w:lineRule="exact"/>
        <w:ind w:left="638" w:leftChars="304" w:firstLine="640" w:firstLineChars="200"/>
        <w:jc w:val="left"/>
        <w:rPr>
          <w:rFonts w:hint="eastAsia" w:hAnsi="宋体" w:eastAsia="仿宋_GB2312" w:cs="宋体"/>
          <w:color w:val="000000"/>
          <w:kern w:val="0"/>
          <w:sz w:val="32"/>
          <w:szCs w:val="32"/>
        </w:rPr>
      </w:pPr>
      <w:r>
        <w:rPr>
          <w:rFonts w:hint="eastAsia" w:hAnsi="宋体" w:eastAsia="仿宋_GB2312" w:cs="宋体"/>
          <w:color w:val="000000"/>
          <w:kern w:val="0"/>
          <w:sz w:val="32"/>
          <w:szCs w:val="32"/>
        </w:rPr>
        <w:t>（十六）</w:t>
      </w:r>
      <w:r>
        <w:rPr>
          <w:rFonts w:eastAsia="仿宋_GB2312"/>
          <w:color w:val="000000"/>
          <w:kern w:val="0"/>
          <w:sz w:val="32"/>
          <w:szCs w:val="32"/>
        </w:rPr>
        <w:t xml:space="preserve"> </w:t>
      </w:r>
      <w:r>
        <w:rPr>
          <w:rFonts w:hint="eastAsia" w:hAnsi="宋体" w:eastAsia="仿宋_GB2312" w:cs="宋体"/>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hd w:val="clear" w:color="auto" w:fill="FFFFFF"/>
        <w:adjustRightInd w:val="0"/>
        <w:snapToGrid w:val="0"/>
        <w:spacing w:line="540" w:lineRule="exact"/>
        <w:ind w:firstLine="640" w:firstLineChars="200"/>
        <w:jc w:val="left"/>
        <w:rPr>
          <w:rFonts w:hint="eastAsia" w:hAnsi="宋体" w:eastAsia="仿宋_GB2312" w:cs="宋体"/>
          <w:color w:val="000000"/>
          <w:kern w:val="0"/>
          <w:sz w:val="32"/>
          <w:szCs w:val="32"/>
        </w:rPr>
      </w:pPr>
    </w:p>
    <w:p>
      <w:pPr>
        <w:autoSpaceDE w:val="0"/>
        <w:autoSpaceDN w:val="0"/>
        <w:adjustRightInd w:val="0"/>
        <w:spacing w:line="600" w:lineRule="exact"/>
        <w:ind w:left="630" w:leftChars="300"/>
        <w:jc w:val="left"/>
        <w:rPr>
          <w:rFonts w:ascii="仿宋" w:hAnsi="仿宋" w:eastAsia="仿宋"/>
          <w:sz w:val="32"/>
          <w:szCs w:val="32"/>
        </w:rP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宋体-方正超大字符集">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7F6F99"/>
    <w:multiLevelType w:val="singleLevel"/>
    <w:tmpl w:val="A27F6F9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E3MTIzOTk3Yjk5ZGNjMzU3OWRiYjk2OGUyMjlkNDkifQ=="/>
  </w:docVars>
  <w:rsids>
    <w:rsidRoot w:val="00172A27"/>
    <w:rsid w:val="0000377D"/>
    <w:rsid w:val="00003C26"/>
    <w:rsid w:val="00011C5F"/>
    <w:rsid w:val="00013001"/>
    <w:rsid w:val="00027BA0"/>
    <w:rsid w:val="00037AF6"/>
    <w:rsid w:val="00045A61"/>
    <w:rsid w:val="00050317"/>
    <w:rsid w:val="0006048B"/>
    <w:rsid w:val="00062ABD"/>
    <w:rsid w:val="00071335"/>
    <w:rsid w:val="00075D5F"/>
    <w:rsid w:val="000927C8"/>
    <w:rsid w:val="000A19E6"/>
    <w:rsid w:val="000A3143"/>
    <w:rsid w:val="000A3651"/>
    <w:rsid w:val="000B25F2"/>
    <w:rsid w:val="000C3277"/>
    <w:rsid w:val="000C35AA"/>
    <w:rsid w:val="000C3A19"/>
    <w:rsid w:val="000C47FA"/>
    <w:rsid w:val="000C730F"/>
    <w:rsid w:val="000D5359"/>
    <w:rsid w:val="000E1633"/>
    <w:rsid w:val="000E38AD"/>
    <w:rsid w:val="000E5E5B"/>
    <w:rsid w:val="000F549A"/>
    <w:rsid w:val="00110D31"/>
    <w:rsid w:val="001110D4"/>
    <w:rsid w:val="0011377E"/>
    <w:rsid w:val="00120E9C"/>
    <w:rsid w:val="001245BB"/>
    <w:rsid w:val="00130FD8"/>
    <w:rsid w:val="00146BB9"/>
    <w:rsid w:val="00177EBE"/>
    <w:rsid w:val="00181DAF"/>
    <w:rsid w:val="0018479D"/>
    <w:rsid w:val="001C1E25"/>
    <w:rsid w:val="001D105E"/>
    <w:rsid w:val="001D333B"/>
    <w:rsid w:val="001E170A"/>
    <w:rsid w:val="00202EC8"/>
    <w:rsid w:val="00222577"/>
    <w:rsid w:val="00226539"/>
    <w:rsid w:val="00230506"/>
    <w:rsid w:val="00241FD4"/>
    <w:rsid w:val="00251B12"/>
    <w:rsid w:val="00253CEA"/>
    <w:rsid w:val="002645FB"/>
    <w:rsid w:val="00266F76"/>
    <w:rsid w:val="00272831"/>
    <w:rsid w:val="00276573"/>
    <w:rsid w:val="00276988"/>
    <w:rsid w:val="0028271A"/>
    <w:rsid w:val="00282757"/>
    <w:rsid w:val="00296113"/>
    <w:rsid w:val="002C11B4"/>
    <w:rsid w:val="002C191E"/>
    <w:rsid w:val="002D3C3F"/>
    <w:rsid w:val="002F3E58"/>
    <w:rsid w:val="002F5C40"/>
    <w:rsid w:val="00301B74"/>
    <w:rsid w:val="00303956"/>
    <w:rsid w:val="0030542C"/>
    <w:rsid w:val="00311B7A"/>
    <w:rsid w:val="003201C5"/>
    <w:rsid w:val="00322428"/>
    <w:rsid w:val="00325066"/>
    <w:rsid w:val="00331C4B"/>
    <w:rsid w:val="00343772"/>
    <w:rsid w:val="0034752E"/>
    <w:rsid w:val="0035156F"/>
    <w:rsid w:val="0035543D"/>
    <w:rsid w:val="00356502"/>
    <w:rsid w:val="00362445"/>
    <w:rsid w:val="00364E12"/>
    <w:rsid w:val="00374716"/>
    <w:rsid w:val="00374BB0"/>
    <w:rsid w:val="003A371D"/>
    <w:rsid w:val="003B52FB"/>
    <w:rsid w:val="003C1D1F"/>
    <w:rsid w:val="003D14F4"/>
    <w:rsid w:val="003E047C"/>
    <w:rsid w:val="003E1A7F"/>
    <w:rsid w:val="003E4521"/>
    <w:rsid w:val="003E518E"/>
    <w:rsid w:val="00423D84"/>
    <w:rsid w:val="00437EF7"/>
    <w:rsid w:val="004450B0"/>
    <w:rsid w:val="0044542D"/>
    <w:rsid w:val="004504BE"/>
    <w:rsid w:val="00451871"/>
    <w:rsid w:val="00467826"/>
    <w:rsid w:val="00467895"/>
    <w:rsid w:val="00472923"/>
    <w:rsid w:val="00472C25"/>
    <w:rsid w:val="0048113E"/>
    <w:rsid w:val="00481336"/>
    <w:rsid w:val="00491532"/>
    <w:rsid w:val="004A39CF"/>
    <w:rsid w:val="004A3BD4"/>
    <w:rsid w:val="004B1A87"/>
    <w:rsid w:val="004B7C1E"/>
    <w:rsid w:val="004C7074"/>
    <w:rsid w:val="004E3066"/>
    <w:rsid w:val="004E74CD"/>
    <w:rsid w:val="004F1A0A"/>
    <w:rsid w:val="004F322C"/>
    <w:rsid w:val="00511AF3"/>
    <w:rsid w:val="0051472F"/>
    <w:rsid w:val="00514C11"/>
    <w:rsid w:val="0052438F"/>
    <w:rsid w:val="00560607"/>
    <w:rsid w:val="00573562"/>
    <w:rsid w:val="00582B13"/>
    <w:rsid w:val="00582F8A"/>
    <w:rsid w:val="00584020"/>
    <w:rsid w:val="00585E41"/>
    <w:rsid w:val="005A2C73"/>
    <w:rsid w:val="005B04CF"/>
    <w:rsid w:val="005B2D94"/>
    <w:rsid w:val="005C0C77"/>
    <w:rsid w:val="005C76E0"/>
    <w:rsid w:val="005E1A47"/>
    <w:rsid w:val="005F3F12"/>
    <w:rsid w:val="0060797E"/>
    <w:rsid w:val="00607E59"/>
    <w:rsid w:val="00610DEC"/>
    <w:rsid w:val="00614A29"/>
    <w:rsid w:val="006255D4"/>
    <w:rsid w:val="00630837"/>
    <w:rsid w:val="0063790B"/>
    <w:rsid w:val="00654DB5"/>
    <w:rsid w:val="00656A34"/>
    <w:rsid w:val="00657C4F"/>
    <w:rsid w:val="00660D94"/>
    <w:rsid w:val="00665AE1"/>
    <w:rsid w:val="006709EC"/>
    <w:rsid w:val="00671E10"/>
    <w:rsid w:val="0067218F"/>
    <w:rsid w:val="00682254"/>
    <w:rsid w:val="006833AF"/>
    <w:rsid w:val="00687B65"/>
    <w:rsid w:val="00694431"/>
    <w:rsid w:val="006A3A40"/>
    <w:rsid w:val="006B1A22"/>
    <w:rsid w:val="006E093C"/>
    <w:rsid w:val="006F09B3"/>
    <w:rsid w:val="007104D2"/>
    <w:rsid w:val="007211DC"/>
    <w:rsid w:val="007465A8"/>
    <w:rsid w:val="00751C55"/>
    <w:rsid w:val="0075393C"/>
    <w:rsid w:val="00755092"/>
    <w:rsid w:val="00765516"/>
    <w:rsid w:val="00776C08"/>
    <w:rsid w:val="00776E05"/>
    <w:rsid w:val="007A49DB"/>
    <w:rsid w:val="007B4EE0"/>
    <w:rsid w:val="007D1A68"/>
    <w:rsid w:val="007E1DA8"/>
    <w:rsid w:val="007E79F0"/>
    <w:rsid w:val="007F6C26"/>
    <w:rsid w:val="00810118"/>
    <w:rsid w:val="00810C09"/>
    <w:rsid w:val="0081320D"/>
    <w:rsid w:val="00816EEF"/>
    <w:rsid w:val="00820F41"/>
    <w:rsid w:val="00825323"/>
    <w:rsid w:val="008334AE"/>
    <w:rsid w:val="00836FED"/>
    <w:rsid w:val="008412EE"/>
    <w:rsid w:val="00842689"/>
    <w:rsid w:val="00843381"/>
    <w:rsid w:val="00845CD2"/>
    <w:rsid w:val="008502D8"/>
    <w:rsid w:val="00852B0D"/>
    <w:rsid w:val="008560EE"/>
    <w:rsid w:val="008707E4"/>
    <w:rsid w:val="00881692"/>
    <w:rsid w:val="008821F0"/>
    <w:rsid w:val="00884DB5"/>
    <w:rsid w:val="008A2E52"/>
    <w:rsid w:val="008B3CC5"/>
    <w:rsid w:val="008B3E22"/>
    <w:rsid w:val="008B5CEA"/>
    <w:rsid w:val="008C2BAF"/>
    <w:rsid w:val="008D1C35"/>
    <w:rsid w:val="008E4261"/>
    <w:rsid w:val="008F2664"/>
    <w:rsid w:val="008F4662"/>
    <w:rsid w:val="008F4E0C"/>
    <w:rsid w:val="00902358"/>
    <w:rsid w:val="00905D08"/>
    <w:rsid w:val="00907F05"/>
    <w:rsid w:val="00911161"/>
    <w:rsid w:val="00925753"/>
    <w:rsid w:val="009264B9"/>
    <w:rsid w:val="00927EEA"/>
    <w:rsid w:val="00937FFE"/>
    <w:rsid w:val="00954BAC"/>
    <w:rsid w:val="00957425"/>
    <w:rsid w:val="00960C99"/>
    <w:rsid w:val="00964D1A"/>
    <w:rsid w:val="00966A01"/>
    <w:rsid w:val="00966C5C"/>
    <w:rsid w:val="00973104"/>
    <w:rsid w:val="00980738"/>
    <w:rsid w:val="00981C15"/>
    <w:rsid w:val="00990561"/>
    <w:rsid w:val="00992956"/>
    <w:rsid w:val="009967FB"/>
    <w:rsid w:val="00996811"/>
    <w:rsid w:val="00996DCE"/>
    <w:rsid w:val="00997B43"/>
    <w:rsid w:val="00997C32"/>
    <w:rsid w:val="009A446F"/>
    <w:rsid w:val="009C7A08"/>
    <w:rsid w:val="009D62D9"/>
    <w:rsid w:val="009D69A0"/>
    <w:rsid w:val="009E7653"/>
    <w:rsid w:val="009F5CF6"/>
    <w:rsid w:val="00A0295A"/>
    <w:rsid w:val="00A13C04"/>
    <w:rsid w:val="00A2296C"/>
    <w:rsid w:val="00A260C5"/>
    <w:rsid w:val="00A4216F"/>
    <w:rsid w:val="00A427C9"/>
    <w:rsid w:val="00A511F7"/>
    <w:rsid w:val="00A51DDC"/>
    <w:rsid w:val="00A72D2E"/>
    <w:rsid w:val="00A77F9C"/>
    <w:rsid w:val="00A911E7"/>
    <w:rsid w:val="00A939D9"/>
    <w:rsid w:val="00A94CB0"/>
    <w:rsid w:val="00AE38BA"/>
    <w:rsid w:val="00AE7972"/>
    <w:rsid w:val="00AF22E6"/>
    <w:rsid w:val="00AF2CAE"/>
    <w:rsid w:val="00AF7E13"/>
    <w:rsid w:val="00B02260"/>
    <w:rsid w:val="00B04CDB"/>
    <w:rsid w:val="00B164F2"/>
    <w:rsid w:val="00B20712"/>
    <w:rsid w:val="00B24F07"/>
    <w:rsid w:val="00B43238"/>
    <w:rsid w:val="00B43E0B"/>
    <w:rsid w:val="00B6012B"/>
    <w:rsid w:val="00B70165"/>
    <w:rsid w:val="00B75216"/>
    <w:rsid w:val="00B819EF"/>
    <w:rsid w:val="00B91D52"/>
    <w:rsid w:val="00BA1ACD"/>
    <w:rsid w:val="00BA4806"/>
    <w:rsid w:val="00BC4E12"/>
    <w:rsid w:val="00BD0CCC"/>
    <w:rsid w:val="00BD5B9C"/>
    <w:rsid w:val="00BD6278"/>
    <w:rsid w:val="00BF234E"/>
    <w:rsid w:val="00C0210D"/>
    <w:rsid w:val="00C04328"/>
    <w:rsid w:val="00C0448B"/>
    <w:rsid w:val="00C10AB3"/>
    <w:rsid w:val="00C24998"/>
    <w:rsid w:val="00C27364"/>
    <w:rsid w:val="00C45BAE"/>
    <w:rsid w:val="00C46E92"/>
    <w:rsid w:val="00C516C2"/>
    <w:rsid w:val="00C71CF5"/>
    <w:rsid w:val="00C83F64"/>
    <w:rsid w:val="00C96D12"/>
    <w:rsid w:val="00CA28B2"/>
    <w:rsid w:val="00CA3B1F"/>
    <w:rsid w:val="00CA5AF7"/>
    <w:rsid w:val="00CA6EF3"/>
    <w:rsid w:val="00CA7176"/>
    <w:rsid w:val="00CB26DE"/>
    <w:rsid w:val="00CB337D"/>
    <w:rsid w:val="00CC0EFB"/>
    <w:rsid w:val="00CC141E"/>
    <w:rsid w:val="00CD2773"/>
    <w:rsid w:val="00CE143B"/>
    <w:rsid w:val="00D01663"/>
    <w:rsid w:val="00D04FEB"/>
    <w:rsid w:val="00D058BB"/>
    <w:rsid w:val="00D0749D"/>
    <w:rsid w:val="00D4715F"/>
    <w:rsid w:val="00D50E52"/>
    <w:rsid w:val="00D51F1D"/>
    <w:rsid w:val="00D521CF"/>
    <w:rsid w:val="00D53746"/>
    <w:rsid w:val="00D64632"/>
    <w:rsid w:val="00D66419"/>
    <w:rsid w:val="00D824BA"/>
    <w:rsid w:val="00D82B97"/>
    <w:rsid w:val="00D93379"/>
    <w:rsid w:val="00DA2B7D"/>
    <w:rsid w:val="00DB0871"/>
    <w:rsid w:val="00DB3D96"/>
    <w:rsid w:val="00DB472C"/>
    <w:rsid w:val="00DD2F44"/>
    <w:rsid w:val="00DE6457"/>
    <w:rsid w:val="00DF405A"/>
    <w:rsid w:val="00E018FC"/>
    <w:rsid w:val="00E02B25"/>
    <w:rsid w:val="00E036E1"/>
    <w:rsid w:val="00E07E74"/>
    <w:rsid w:val="00E167C7"/>
    <w:rsid w:val="00E208A9"/>
    <w:rsid w:val="00E20B8B"/>
    <w:rsid w:val="00E307CA"/>
    <w:rsid w:val="00E41B72"/>
    <w:rsid w:val="00E43B2C"/>
    <w:rsid w:val="00E5232A"/>
    <w:rsid w:val="00E6087D"/>
    <w:rsid w:val="00E65055"/>
    <w:rsid w:val="00E84D0E"/>
    <w:rsid w:val="00E86D7E"/>
    <w:rsid w:val="00E93CF2"/>
    <w:rsid w:val="00EB16BF"/>
    <w:rsid w:val="00EC461F"/>
    <w:rsid w:val="00EC47F6"/>
    <w:rsid w:val="00ED2753"/>
    <w:rsid w:val="00ED300C"/>
    <w:rsid w:val="00EE1B43"/>
    <w:rsid w:val="00EF4308"/>
    <w:rsid w:val="00F00262"/>
    <w:rsid w:val="00F153EF"/>
    <w:rsid w:val="00F42A7F"/>
    <w:rsid w:val="00F4322E"/>
    <w:rsid w:val="00F43612"/>
    <w:rsid w:val="00F4768D"/>
    <w:rsid w:val="00F549EA"/>
    <w:rsid w:val="00F55088"/>
    <w:rsid w:val="00F56EA0"/>
    <w:rsid w:val="00F60A62"/>
    <w:rsid w:val="00F66032"/>
    <w:rsid w:val="00F74589"/>
    <w:rsid w:val="00F7604A"/>
    <w:rsid w:val="00F76328"/>
    <w:rsid w:val="00F82ED0"/>
    <w:rsid w:val="00F92008"/>
    <w:rsid w:val="00F92627"/>
    <w:rsid w:val="00F958C2"/>
    <w:rsid w:val="00FA5322"/>
    <w:rsid w:val="00FA54DB"/>
    <w:rsid w:val="00FB21E0"/>
    <w:rsid w:val="00FB2FD3"/>
    <w:rsid w:val="00FC281C"/>
    <w:rsid w:val="00FD2D40"/>
    <w:rsid w:val="00FE2F65"/>
    <w:rsid w:val="00FF2E01"/>
    <w:rsid w:val="01194A02"/>
    <w:rsid w:val="015465DF"/>
    <w:rsid w:val="02982451"/>
    <w:rsid w:val="04114946"/>
    <w:rsid w:val="04B16DC7"/>
    <w:rsid w:val="059F0E1B"/>
    <w:rsid w:val="06E159EA"/>
    <w:rsid w:val="07937C04"/>
    <w:rsid w:val="098F0B67"/>
    <w:rsid w:val="0B594B7A"/>
    <w:rsid w:val="0DF96185"/>
    <w:rsid w:val="0F802049"/>
    <w:rsid w:val="0FE11680"/>
    <w:rsid w:val="0FE72B09"/>
    <w:rsid w:val="103A40D0"/>
    <w:rsid w:val="147B656C"/>
    <w:rsid w:val="15A15004"/>
    <w:rsid w:val="16D34CA4"/>
    <w:rsid w:val="182F6DEC"/>
    <w:rsid w:val="1AD05517"/>
    <w:rsid w:val="1D1557D7"/>
    <w:rsid w:val="1F172529"/>
    <w:rsid w:val="205B7459"/>
    <w:rsid w:val="219A3D27"/>
    <w:rsid w:val="22333D2C"/>
    <w:rsid w:val="23B77F75"/>
    <w:rsid w:val="24366787"/>
    <w:rsid w:val="289F79B8"/>
    <w:rsid w:val="2C4E7E72"/>
    <w:rsid w:val="2DEA578B"/>
    <w:rsid w:val="2E550BD8"/>
    <w:rsid w:val="2E975241"/>
    <w:rsid w:val="2EC243C1"/>
    <w:rsid w:val="306540FB"/>
    <w:rsid w:val="317001D5"/>
    <w:rsid w:val="34286617"/>
    <w:rsid w:val="35A86FE1"/>
    <w:rsid w:val="36753C9D"/>
    <w:rsid w:val="36DE5C60"/>
    <w:rsid w:val="371174FB"/>
    <w:rsid w:val="38FC4C53"/>
    <w:rsid w:val="39C32003"/>
    <w:rsid w:val="3B6E506E"/>
    <w:rsid w:val="3CD634D0"/>
    <w:rsid w:val="3D3E3340"/>
    <w:rsid w:val="3E433514"/>
    <w:rsid w:val="3E5B1700"/>
    <w:rsid w:val="3F031147"/>
    <w:rsid w:val="3F0C1E50"/>
    <w:rsid w:val="40A46FFF"/>
    <w:rsid w:val="426326CC"/>
    <w:rsid w:val="42935D08"/>
    <w:rsid w:val="43B96CA3"/>
    <w:rsid w:val="446442D8"/>
    <w:rsid w:val="456008A7"/>
    <w:rsid w:val="45C21F24"/>
    <w:rsid w:val="45E524B4"/>
    <w:rsid w:val="46E33123"/>
    <w:rsid w:val="47F97C66"/>
    <w:rsid w:val="48213130"/>
    <w:rsid w:val="482C5EEB"/>
    <w:rsid w:val="491A6909"/>
    <w:rsid w:val="4A7F7F0E"/>
    <w:rsid w:val="4B725FC2"/>
    <w:rsid w:val="4C1B1380"/>
    <w:rsid w:val="4D521319"/>
    <w:rsid w:val="4FBC31F1"/>
    <w:rsid w:val="50A97F31"/>
    <w:rsid w:val="52E44584"/>
    <w:rsid w:val="53EB37C4"/>
    <w:rsid w:val="54867C03"/>
    <w:rsid w:val="59330191"/>
    <w:rsid w:val="5BCE5AC2"/>
    <w:rsid w:val="5BFF10E9"/>
    <w:rsid w:val="5C4A5F64"/>
    <w:rsid w:val="5D0A7923"/>
    <w:rsid w:val="5F020155"/>
    <w:rsid w:val="5F831532"/>
    <w:rsid w:val="5FAD7FDF"/>
    <w:rsid w:val="63CE7B37"/>
    <w:rsid w:val="64B02D23"/>
    <w:rsid w:val="66D13F41"/>
    <w:rsid w:val="690C6DFA"/>
    <w:rsid w:val="6A104636"/>
    <w:rsid w:val="6A906F5F"/>
    <w:rsid w:val="6AD11253"/>
    <w:rsid w:val="6AF00F31"/>
    <w:rsid w:val="6B1207DE"/>
    <w:rsid w:val="6B9E3F90"/>
    <w:rsid w:val="6CF91B96"/>
    <w:rsid w:val="6CFB6BC3"/>
    <w:rsid w:val="6D61202C"/>
    <w:rsid w:val="6DDE5627"/>
    <w:rsid w:val="6EC5030B"/>
    <w:rsid w:val="71626D7D"/>
    <w:rsid w:val="73F86940"/>
    <w:rsid w:val="75475164"/>
    <w:rsid w:val="77C7674F"/>
    <w:rsid w:val="7AC42402"/>
    <w:rsid w:val="7CEA1AD2"/>
    <w:rsid w:val="7DFD6D17"/>
    <w:rsid w:val="7F26143C"/>
    <w:rsid w:val="7F586007"/>
    <w:rsid w:val="7F74530A"/>
    <w:rsid w:val="7FC3776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toc 1"/>
    <w:basedOn w:val="1"/>
    <w:next w:val="1"/>
    <w:qFormat/>
    <w:uiPriority w:val="99"/>
    <w:rPr>
      <w:rFonts w:ascii="Times New Roman" w:hAnsi="Times New Roman"/>
      <w:szCs w:val="24"/>
    </w:rPr>
  </w:style>
  <w:style w:type="paragraph" w:styleId="5">
    <w:name w:val="toc 2"/>
    <w:basedOn w:val="1"/>
    <w:next w:val="1"/>
    <w:qFormat/>
    <w:uiPriority w:val="99"/>
    <w:pPr>
      <w:ind w:left="420" w:leftChars="200"/>
    </w:pPr>
    <w:rPr>
      <w:rFonts w:ascii="Times New Roman" w:hAnsi="Times New Roman"/>
      <w:szCs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9">
    <w:name w:val="页眉 Char"/>
    <w:basedOn w:val="8"/>
    <w:link w:val="3"/>
    <w:qFormat/>
    <w:locked/>
    <w:uiPriority w:val="99"/>
    <w:rPr>
      <w:rFonts w:ascii="Times New Roman" w:hAnsi="Times New Roman" w:eastAsia="宋体" w:cs="Times New Roman"/>
      <w:sz w:val="18"/>
      <w:szCs w:val="18"/>
    </w:rPr>
  </w:style>
  <w:style w:type="character" w:customStyle="1" w:styleId="10">
    <w:name w:val="页脚 Char"/>
    <w:basedOn w:val="8"/>
    <w:link w:val="2"/>
    <w:qFormat/>
    <w:locked/>
    <w:uiPriority w:val="99"/>
    <w:rPr>
      <w:rFonts w:ascii="Times New Roman" w:hAnsi="Times New Roman" w:eastAsia="宋体" w:cs="Times New Roman"/>
      <w:sz w:val="18"/>
      <w:szCs w:val="18"/>
    </w:rPr>
  </w:style>
  <w:style w:type="character" w:customStyle="1" w:styleId="11">
    <w:name w:val="apple-converted-space"/>
    <w:basedOn w:val="8"/>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731</Words>
  <Characters>4169</Characters>
  <Lines>34</Lines>
  <Paragraphs>9</Paragraphs>
  <TotalTime>2</TotalTime>
  <ScaleCrop>false</ScaleCrop>
  <LinksUpToDate>false</LinksUpToDate>
  <CharactersWithSpaces>4891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Administrator</cp:lastModifiedBy>
  <dcterms:modified xsi:type="dcterms:W3CDTF">2023-11-09T06:23:37Z</dcterms:modified>
  <cp:revision>200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70FD0B9F26E247DDA84D140336131A1C_12</vt:lpwstr>
  </property>
</Properties>
</file>